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黑体" w:hAnsi="黑体" w:eastAsia="黑体" w:cs="黑体"/>
          <w:b w:val="0"/>
          <w:bCs w:val="0"/>
          <w:color w:val="000000"/>
          <w:kern w:val="36"/>
          <w:sz w:val="48"/>
          <w:szCs w:val="48"/>
          <w:lang w:eastAsia="zh-CN"/>
        </w:rPr>
      </w:pPr>
    </w:p>
    <w:p>
      <w:pPr>
        <w:widowControl/>
        <w:jc w:val="both"/>
        <w:outlineLvl w:val="0"/>
        <w:rPr>
          <w:rFonts w:hint="eastAsia" w:ascii="黑体" w:hAnsi="黑体" w:eastAsia="黑体" w:cs="黑体"/>
          <w:b w:val="0"/>
          <w:bCs w:val="0"/>
          <w:color w:val="000000"/>
          <w:kern w:val="36"/>
          <w:sz w:val="48"/>
          <w:szCs w:val="48"/>
          <w:lang w:eastAsia="zh-CN"/>
        </w:rPr>
      </w:pPr>
    </w:p>
    <w:p>
      <w:pPr>
        <w:widowControl/>
        <w:jc w:val="center"/>
        <w:outlineLvl w:val="0"/>
        <w:rPr>
          <w:rFonts w:hint="eastAsia" w:ascii="黑体" w:hAnsi="黑体" w:eastAsia="黑体" w:cs="黑体"/>
          <w:b w:val="0"/>
          <w:bCs w:val="0"/>
          <w:color w:val="000000"/>
          <w:kern w:val="36"/>
          <w:sz w:val="48"/>
          <w:szCs w:val="48"/>
          <w:lang w:eastAsia="zh-CN"/>
        </w:rPr>
      </w:pPr>
    </w:p>
    <w:p>
      <w:pPr>
        <w:widowControl/>
        <w:jc w:val="center"/>
        <w:outlineLvl w:val="0"/>
        <w:rPr>
          <w:rFonts w:hint="eastAsia" w:ascii="黑体" w:hAnsi="黑体" w:eastAsia="黑体" w:cs="黑体"/>
          <w:b w:val="0"/>
          <w:bCs w:val="0"/>
          <w:color w:val="000000"/>
          <w:kern w:val="36"/>
          <w:sz w:val="48"/>
          <w:szCs w:val="48"/>
          <w:lang w:eastAsia="zh-CN"/>
        </w:rPr>
      </w:pPr>
    </w:p>
    <w:p>
      <w:pPr>
        <w:widowControl/>
        <w:jc w:val="center"/>
        <w:outlineLvl w:val="0"/>
        <w:rPr>
          <w:rFonts w:hint="eastAsia" w:ascii="黑体" w:hAnsi="黑体" w:eastAsia="黑体" w:cs="黑体"/>
          <w:b w:val="0"/>
          <w:bCs w:val="0"/>
          <w:color w:val="000000"/>
          <w:kern w:val="36"/>
          <w:sz w:val="48"/>
          <w:szCs w:val="48"/>
        </w:rPr>
      </w:pPr>
      <w:r>
        <w:rPr>
          <w:rFonts w:hint="eastAsia" w:ascii="黑体" w:hAnsi="黑体" w:eastAsia="黑体" w:cs="黑体"/>
          <w:b w:val="0"/>
          <w:bCs w:val="0"/>
          <w:color w:val="000000"/>
          <w:kern w:val="36"/>
          <w:sz w:val="48"/>
          <w:szCs w:val="48"/>
          <w:lang w:eastAsia="zh-CN"/>
        </w:rPr>
        <w:t>2023</w:t>
      </w:r>
      <w:r>
        <w:rPr>
          <w:rFonts w:hint="eastAsia" w:ascii="黑体" w:hAnsi="黑体" w:eastAsia="黑体" w:cs="黑体"/>
          <w:b w:val="0"/>
          <w:bCs w:val="0"/>
          <w:color w:val="000000"/>
          <w:kern w:val="36"/>
          <w:sz w:val="48"/>
          <w:szCs w:val="48"/>
        </w:rPr>
        <w:t>年</w:t>
      </w:r>
      <w:r>
        <w:rPr>
          <w:rFonts w:hint="eastAsia" w:ascii="黑体" w:hAnsi="黑体" w:eastAsia="黑体" w:cs="黑体"/>
          <w:b w:val="0"/>
          <w:bCs w:val="0"/>
          <w:color w:val="000000"/>
          <w:kern w:val="36"/>
          <w:sz w:val="48"/>
          <w:szCs w:val="48"/>
          <w:lang w:eastAsia="zh-CN"/>
        </w:rPr>
        <w:t>度</w:t>
      </w:r>
      <w:r>
        <w:rPr>
          <w:rFonts w:hint="eastAsia" w:ascii="黑体" w:hAnsi="黑体" w:eastAsia="黑体" w:cs="黑体"/>
          <w:b w:val="0"/>
          <w:bCs w:val="0"/>
          <w:color w:val="000000"/>
          <w:kern w:val="36"/>
          <w:sz w:val="48"/>
          <w:szCs w:val="48"/>
        </w:rPr>
        <w:t>益阳市公共资源交易中心</w:t>
      </w:r>
    </w:p>
    <w:p>
      <w:pPr>
        <w:widowControl/>
        <w:jc w:val="center"/>
        <w:outlineLvl w:val="0"/>
        <w:rPr>
          <w:rFonts w:hint="eastAsia" w:ascii="黑体" w:hAnsi="黑体" w:eastAsia="黑体" w:cs="黑体"/>
          <w:b w:val="0"/>
          <w:bCs w:val="0"/>
          <w:color w:val="000000"/>
          <w:kern w:val="36"/>
          <w:sz w:val="48"/>
          <w:szCs w:val="48"/>
        </w:rPr>
      </w:pPr>
      <w:r>
        <w:rPr>
          <w:rFonts w:hint="eastAsia" w:ascii="黑体" w:hAnsi="黑体" w:eastAsia="黑体" w:cs="黑体"/>
          <w:b w:val="0"/>
          <w:bCs w:val="0"/>
          <w:color w:val="000000"/>
          <w:kern w:val="36"/>
          <w:sz w:val="48"/>
          <w:szCs w:val="48"/>
        </w:rPr>
        <w:t>部门整体支出绩效自评报告</w:t>
      </w:r>
    </w:p>
    <w:p>
      <w:pPr>
        <w:pStyle w:val="2"/>
        <w:rPr>
          <w:rFonts w:hint="eastAsia" w:ascii="黑体" w:hAnsi="黑体" w:eastAsia="黑体" w:cs="黑体"/>
          <w:b w:val="0"/>
          <w:bCs w:val="0"/>
          <w:color w:val="000000"/>
          <w:kern w:val="36"/>
          <w:sz w:val="48"/>
          <w:szCs w:val="48"/>
        </w:rPr>
      </w:pPr>
    </w:p>
    <w:p>
      <w:pPr>
        <w:rPr>
          <w:rFonts w:hint="eastAsia" w:ascii="黑体" w:hAnsi="黑体" w:eastAsia="黑体" w:cs="黑体"/>
          <w:b w:val="0"/>
          <w:bCs w:val="0"/>
          <w:color w:val="000000"/>
          <w:kern w:val="36"/>
          <w:sz w:val="48"/>
          <w:szCs w:val="48"/>
        </w:rPr>
      </w:pPr>
    </w:p>
    <w:p>
      <w:pPr>
        <w:pStyle w:val="2"/>
        <w:rPr>
          <w:rFonts w:hint="eastAsia" w:ascii="黑体" w:hAnsi="黑体" w:eastAsia="黑体" w:cs="黑体"/>
          <w:b w:val="0"/>
          <w:bCs w:val="0"/>
          <w:color w:val="000000"/>
          <w:kern w:val="36"/>
          <w:sz w:val="48"/>
          <w:szCs w:val="48"/>
        </w:rPr>
      </w:pPr>
    </w:p>
    <w:p>
      <w:pPr>
        <w:rPr>
          <w:rFonts w:hint="eastAsia" w:ascii="黑体" w:hAnsi="黑体" w:eastAsia="黑体" w:cs="黑体"/>
          <w:b w:val="0"/>
          <w:bCs w:val="0"/>
          <w:color w:val="000000"/>
          <w:kern w:val="36"/>
          <w:sz w:val="48"/>
          <w:szCs w:val="48"/>
        </w:rPr>
      </w:pPr>
    </w:p>
    <w:p>
      <w:pPr>
        <w:pStyle w:val="2"/>
        <w:rPr>
          <w:rFonts w:hint="eastAsia" w:ascii="黑体" w:hAnsi="黑体" w:eastAsia="黑体" w:cs="黑体"/>
          <w:b w:val="0"/>
          <w:bCs w:val="0"/>
          <w:color w:val="000000"/>
          <w:kern w:val="36"/>
          <w:sz w:val="48"/>
          <w:szCs w:val="48"/>
        </w:rPr>
      </w:pPr>
    </w:p>
    <w:p>
      <w:pPr>
        <w:rPr>
          <w:rFonts w:hint="eastAsia" w:ascii="黑体" w:hAnsi="黑体" w:eastAsia="黑体" w:cs="黑体"/>
          <w:b w:val="0"/>
          <w:bCs w:val="0"/>
          <w:color w:val="000000"/>
          <w:kern w:val="36"/>
          <w:sz w:val="48"/>
          <w:szCs w:val="48"/>
        </w:rPr>
      </w:pPr>
    </w:p>
    <w:p>
      <w:pPr>
        <w:pStyle w:val="2"/>
        <w:rPr>
          <w:rFonts w:hint="eastAsia" w:ascii="黑体" w:hAnsi="黑体" w:eastAsia="黑体" w:cs="黑体"/>
          <w:b w:val="0"/>
          <w:bCs w:val="0"/>
          <w:color w:val="000000"/>
          <w:kern w:val="36"/>
          <w:sz w:val="48"/>
          <w:szCs w:val="48"/>
        </w:rPr>
      </w:pPr>
    </w:p>
    <w:p>
      <w:pPr>
        <w:rPr>
          <w:rFonts w:hint="eastAsia" w:ascii="黑体" w:hAnsi="黑体" w:eastAsia="黑体" w:cs="黑体"/>
          <w:b w:val="0"/>
          <w:bCs w:val="0"/>
          <w:color w:val="000000"/>
          <w:kern w:val="36"/>
          <w:sz w:val="48"/>
          <w:szCs w:val="48"/>
        </w:rPr>
      </w:pPr>
    </w:p>
    <w:p>
      <w:pPr>
        <w:pStyle w:val="2"/>
        <w:rPr>
          <w:rFonts w:hint="eastAsia" w:ascii="黑体" w:hAnsi="黑体" w:eastAsia="黑体" w:cs="黑体"/>
          <w:b w:val="0"/>
          <w:bCs w:val="0"/>
          <w:color w:val="000000"/>
          <w:kern w:val="36"/>
          <w:sz w:val="48"/>
          <w:szCs w:val="48"/>
        </w:rPr>
      </w:pPr>
    </w:p>
    <w:p>
      <w:pPr>
        <w:rPr>
          <w:rFonts w:hint="eastAsia" w:ascii="黑体" w:hAnsi="黑体" w:eastAsia="黑体" w:cs="黑体"/>
          <w:b w:val="0"/>
          <w:bCs w:val="0"/>
          <w:color w:val="000000"/>
          <w:kern w:val="36"/>
          <w:sz w:val="48"/>
          <w:szCs w:val="48"/>
        </w:rPr>
      </w:pPr>
    </w:p>
    <w:p>
      <w:pPr>
        <w:pStyle w:val="2"/>
        <w:rPr>
          <w:rFonts w:hint="eastAsia"/>
        </w:rPr>
      </w:pPr>
    </w:p>
    <w:p>
      <w:pPr>
        <w:pStyle w:val="2"/>
        <w:rPr>
          <w:rFonts w:hint="eastAsia" w:ascii="黑体" w:hAnsi="黑体" w:eastAsia="黑体" w:cs="黑体"/>
          <w:b w:val="0"/>
          <w:bCs w:val="0"/>
          <w:color w:val="000000"/>
          <w:kern w:val="36"/>
          <w:sz w:val="48"/>
          <w:szCs w:val="48"/>
        </w:rPr>
      </w:pPr>
    </w:p>
    <w:p>
      <w:pPr>
        <w:rPr>
          <w:rFonts w:hint="eastAsia" w:ascii="黑体" w:hAnsi="黑体" w:eastAsia="黑体" w:cs="黑体"/>
          <w:b w:val="0"/>
          <w:bCs w:val="0"/>
          <w:color w:val="000000"/>
          <w:kern w:val="36"/>
          <w:sz w:val="48"/>
          <w:szCs w:val="48"/>
        </w:rPr>
      </w:pPr>
    </w:p>
    <w:p>
      <w:pPr>
        <w:rPr>
          <w:rFonts w:hint="eastAsia"/>
        </w:rPr>
      </w:pPr>
    </w:p>
    <w:p>
      <w:pPr>
        <w:pStyle w:val="2"/>
        <w:ind w:firstLine="960" w:firstLineChars="300"/>
        <w:jc w:val="both"/>
        <w:rPr>
          <w:rFonts w:hint="default" w:eastAsia="黑体"/>
          <w:sz w:val="32"/>
          <w:szCs w:val="32"/>
          <w:lang w:val="en-US" w:eastAsia="zh-CN"/>
        </w:rPr>
      </w:pPr>
      <w:r>
        <w:rPr>
          <w:rFonts w:hint="eastAsia" w:eastAsia="黑体"/>
          <w:sz w:val="32"/>
          <w:szCs w:val="32"/>
          <w:lang w:val="en-US" w:eastAsia="zh-CN"/>
        </w:rPr>
        <w:t xml:space="preserve">部门名称：益阳市公共资源交易中心     </w:t>
      </w:r>
    </w:p>
    <w:p>
      <w:pPr>
        <w:jc w:val="center"/>
        <w:rPr>
          <w:rFonts w:hint="eastAsia"/>
          <w:sz w:val="32"/>
          <w:szCs w:val="32"/>
          <w:lang w:val="en-US" w:eastAsia="zh-CN"/>
        </w:rPr>
      </w:pPr>
      <w:r>
        <w:rPr>
          <w:rFonts w:hint="eastAsia" w:eastAsia="黑体"/>
          <w:sz w:val="32"/>
          <w:szCs w:val="32"/>
          <w:lang w:val="en-US" w:eastAsia="zh-CN"/>
        </w:rPr>
        <w:t>2024年 5  月27</w:t>
      </w:r>
      <w:bookmarkStart w:id="0" w:name="_GoBack"/>
      <w:bookmarkEnd w:id="0"/>
      <w:r>
        <w:rPr>
          <w:rFonts w:hint="eastAsia" w:eastAsia="黑体"/>
          <w:sz w:val="32"/>
          <w:szCs w:val="32"/>
          <w:lang w:val="en-US" w:eastAsia="zh-CN"/>
        </w:rPr>
        <w:t xml:space="preserve"> 日</w:t>
      </w:r>
    </w:p>
    <w:p>
      <w:pPr>
        <w:widowControl/>
        <w:spacing w:line="600" w:lineRule="exact"/>
        <w:jc w:val="left"/>
        <w:rPr>
          <w:rFonts w:ascii="仿宋" w:hAnsi="仿宋" w:eastAsia="仿宋" w:cs="宋体"/>
          <w:color w:val="5E5E5E"/>
          <w:kern w:val="0"/>
          <w:sz w:val="30"/>
          <w:szCs w:val="30"/>
        </w:rPr>
      </w:pPr>
    </w:p>
    <w:p>
      <w:pPr>
        <w:widowControl/>
        <w:jc w:val="center"/>
        <w:outlineLvl w:val="0"/>
        <w:rPr>
          <w:rFonts w:cs="宋体" w:asciiTheme="majorEastAsia" w:hAnsiTheme="majorEastAsia" w:eastAsiaTheme="majorEastAsia"/>
          <w:b/>
          <w:bCs/>
          <w:color w:val="000000"/>
          <w:kern w:val="36"/>
          <w:sz w:val="44"/>
          <w:szCs w:val="44"/>
        </w:rPr>
      </w:pPr>
      <w:r>
        <w:rPr>
          <w:rFonts w:hint="eastAsia" w:cs="宋体" w:asciiTheme="majorEastAsia" w:hAnsiTheme="majorEastAsia" w:eastAsiaTheme="majorEastAsia"/>
          <w:b/>
          <w:bCs/>
          <w:color w:val="000000"/>
          <w:kern w:val="36"/>
          <w:sz w:val="44"/>
          <w:szCs w:val="44"/>
        </w:rPr>
        <w:br w:type="page"/>
      </w:r>
    </w:p>
    <w:p>
      <w:pPr>
        <w:rPr>
          <w:rFonts w:hint="eastAsia" w:cs="宋体" w:asciiTheme="majorEastAsia" w:hAnsiTheme="majorEastAsia" w:eastAsiaTheme="majorEastAsia"/>
          <w:b/>
          <w:bCs/>
          <w:color w:val="000000"/>
          <w:kern w:val="36"/>
          <w:sz w:val="44"/>
          <w:szCs w:val="44"/>
        </w:rPr>
      </w:pPr>
    </w:p>
    <w:p>
      <w:pPr>
        <w:widowControl/>
        <w:jc w:val="center"/>
        <w:outlineLvl w:val="0"/>
        <w:rPr>
          <w:rFonts w:cs="宋体" w:asciiTheme="majorEastAsia" w:hAnsiTheme="majorEastAsia" w:eastAsiaTheme="majorEastAsia"/>
          <w:b/>
          <w:bCs/>
          <w:color w:val="000000"/>
          <w:kern w:val="36"/>
          <w:sz w:val="44"/>
          <w:szCs w:val="44"/>
        </w:rPr>
      </w:pPr>
      <w:r>
        <w:rPr>
          <w:rFonts w:hint="eastAsia" w:cs="宋体" w:asciiTheme="majorEastAsia" w:hAnsiTheme="majorEastAsia" w:eastAsiaTheme="majorEastAsia"/>
          <w:b/>
          <w:bCs/>
          <w:color w:val="000000"/>
          <w:kern w:val="36"/>
          <w:sz w:val="44"/>
          <w:szCs w:val="44"/>
          <w:lang w:eastAsia="zh-CN"/>
        </w:rPr>
        <w:t>2023</w:t>
      </w:r>
      <w:r>
        <w:rPr>
          <w:rFonts w:hint="eastAsia" w:cs="宋体" w:asciiTheme="majorEastAsia" w:hAnsiTheme="majorEastAsia" w:eastAsiaTheme="majorEastAsia"/>
          <w:b/>
          <w:bCs/>
          <w:color w:val="000000"/>
          <w:kern w:val="36"/>
          <w:sz w:val="44"/>
          <w:szCs w:val="44"/>
        </w:rPr>
        <w:t>年</w:t>
      </w:r>
      <w:r>
        <w:rPr>
          <w:rFonts w:hint="eastAsia" w:cs="宋体" w:asciiTheme="majorEastAsia" w:hAnsiTheme="majorEastAsia" w:eastAsiaTheme="majorEastAsia"/>
          <w:b/>
          <w:bCs/>
          <w:color w:val="000000"/>
          <w:kern w:val="36"/>
          <w:sz w:val="44"/>
          <w:szCs w:val="44"/>
          <w:lang w:eastAsia="zh-CN"/>
        </w:rPr>
        <w:t>度</w:t>
      </w:r>
      <w:r>
        <w:rPr>
          <w:rFonts w:hint="eastAsia" w:cs="宋体" w:asciiTheme="majorEastAsia" w:hAnsiTheme="majorEastAsia" w:eastAsiaTheme="majorEastAsia"/>
          <w:b/>
          <w:bCs/>
          <w:color w:val="000000"/>
          <w:kern w:val="36"/>
          <w:sz w:val="44"/>
          <w:szCs w:val="44"/>
        </w:rPr>
        <w:t>益阳市公共资源交易中心</w:t>
      </w:r>
    </w:p>
    <w:p>
      <w:pPr>
        <w:widowControl/>
        <w:jc w:val="center"/>
        <w:outlineLvl w:val="0"/>
        <w:rPr>
          <w:rFonts w:cs="宋体" w:asciiTheme="majorEastAsia" w:hAnsiTheme="majorEastAsia" w:eastAsiaTheme="majorEastAsia"/>
          <w:b/>
          <w:bCs/>
          <w:color w:val="000000"/>
          <w:kern w:val="36"/>
          <w:sz w:val="44"/>
          <w:szCs w:val="44"/>
        </w:rPr>
      </w:pPr>
      <w:r>
        <w:rPr>
          <w:rFonts w:hint="eastAsia" w:cs="宋体" w:asciiTheme="majorEastAsia" w:hAnsiTheme="majorEastAsia" w:eastAsiaTheme="majorEastAsia"/>
          <w:b/>
          <w:bCs/>
          <w:color w:val="000000"/>
          <w:kern w:val="36"/>
          <w:sz w:val="44"/>
          <w:szCs w:val="44"/>
        </w:rPr>
        <w:t>部门整体支出绩效自评报告</w:t>
      </w:r>
    </w:p>
    <w:p>
      <w:pPr>
        <w:jc w:val="left"/>
        <w:rPr>
          <w:rFonts w:ascii="仿宋" w:hAnsi="仿宋" w:eastAsia="仿宋" w:cs="仿宋"/>
          <w:color w:val="5E5E5E"/>
          <w:kern w:val="0"/>
          <w:sz w:val="30"/>
          <w:szCs w:val="30"/>
        </w:rPr>
      </w:pPr>
      <w:r>
        <w:rPr>
          <w:rFonts w:hint="eastAsia" w:ascii="仿宋" w:hAnsi="仿宋" w:eastAsia="仿宋" w:cs="宋体"/>
          <w:color w:val="5E5E5E"/>
          <w:kern w:val="0"/>
          <w:sz w:val="30"/>
          <w:szCs w:val="30"/>
        </w:rPr>
        <w:t>　</w:t>
      </w:r>
      <w:r>
        <w:rPr>
          <w:rFonts w:hint="eastAsia" w:ascii="仿宋" w:hAnsi="仿宋" w:eastAsia="仿宋" w:cs="仿宋"/>
          <w:color w:val="5E5E5E"/>
          <w:kern w:val="0"/>
          <w:sz w:val="30"/>
          <w:szCs w:val="30"/>
        </w:rPr>
        <w:t>　</w:t>
      </w:r>
    </w:p>
    <w:p>
      <w:pPr>
        <w:keepNext w:val="0"/>
        <w:keepLines w:val="0"/>
        <w:pageBreakBefore w:val="0"/>
        <w:widowControl/>
        <w:kinsoku/>
        <w:wordWrap/>
        <w:overflowPunct/>
        <w:topLinePunct w:val="0"/>
        <w:autoSpaceDE/>
        <w:autoSpaceDN/>
        <w:bidi w:val="0"/>
        <w:adjustRightInd/>
        <w:snapToGrid/>
        <w:spacing w:line="600" w:lineRule="exact"/>
        <w:ind w:firstLine="420"/>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为加强财政资金管理，强化支出责任，提高财政资金的使用效益，建立科学、合理的财政支出绩效评价管理体系，根据《益阳市财政局关于开展</w:t>
      </w:r>
      <w:r>
        <w:rPr>
          <w:rFonts w:hint="eastAsia" w:ascii="仿宋" w:hAnsi="仿宋" w:eastAsia="仿宋" w:cs="宋体"/>
          <w:color w:val="000000" w:themeColor="text1"/>
          <w:kern w:val="0"/>
          <w:sz w:val="30"/>
          <w:szCs w:val="30"/>
          <w:lang w:eastAsia="zh-CN"/>
          <w14:textFill>
            <w14:solidFill>
              <w14:schemeClr w14:val="tx1"/>
            </w14:solidFill>
          </w14:textFill>
        </w:rPr>
        <w:t>2023</w:t>
      </w:r>
      <w:r>
        <w:rPr>
          <w:rFonts w:hint="eastAsia" w:ascii="仿宋" w:hAnsi="仿宋" w:eastAsia="仿宋" w:cs="宋体"/>
          <w:color w:val="000000" w:themeColor="text1"/>
          <w:kern w:val="0"/>
          <w:sz w:val="30"/>
          <w:szCs w:val="30"/>
          <w14:textFill>
            <w14:solidFill>
              <w14:schemeClr w14:val="tx1"/>
            </w14:solidFill>
          </w14:textFill>
        </w:rPr>
        <w:t>年度</w:t>
      </w:r>
      <w:r>
        <w:rPr>
          <w:rFonts w:hint="eastAsia" w:ascii="仿宋" w:hAnsi="仿宋" w:eastAsia="仿宋" w:cs="宋体"/>
          <w:color w:val="000000" w:themeColor="text1"/>
          <w:kern w:val="0"/>
          <w:sz w:val="30"/>
          <w:szCs w:val="30"/>
          <w:lang w:eastAsia="zh-CN"/>
          <w14:textFill>
            <w14:solidFill>
              <w14:schemeClr w14:val="tx1"/>
            </w14:solidFill>
          </w14:textFill>
        </w:rPr>
        <w:t>市级预算部门</w:t>
      </w:r>
      <w:r>
        <w:rPr>
          <w:rFonts w:hint="eastAsia" w:ascii="仿宋" w:hAnsi="仿宋" w:eastAsia="仿宋" w:cs="宋体"/>
          <w:color w:val="000000" w:themeColor="text1"/>
          <w:kern w:val="0"/>
          <w:sz w:val="30"/>
          <w:szCs w:val="30"/>
          <w14:textFill>
            <w14:solidFill>
              <w14:schemeClr w14:val="tx1"/>
            </w14:solidFill>
          </w14:textFill>
        </w:rPr>
        <w:t>绩效自评</w:t>
      </w:r>
      <w:r>
        <w:rPr>
          <w:rFonts w:hint="eastAsia" w:ascii="仿宋" w:hAnsi="仿宋" w:eastAsia="仿宋" w:cs="宋体"/>
          <w:color w:val="000000" w:themeColor="text1"/>
          <w:kern w:val="0"/>
          <w:sz w:val="30"/>
          <w:szCs w:val="30"/>
          <w:lang w:eastAsia="zh-CN"/>
          <w14:textFill>
            <w14:solidFill>
              <w14:schemeClr w14:val="tx1"/>
            </w14:solidFill>
          </w14:textFill>
        </w:rPr>
        <w:t>和部门评价</w:t>
      </w:r>
      <w:r>
        <w:rPr>
          <w:rFonts w:hint="eastAsia" w:ascii="仿宋" w:hAnsi="仿宋" w:eastAsia="仿宋" w:cs="宋体"/>
          <w:color w:val="000000" w:themeColor="text1"/>
          <w:kern w:val="0"/>
          <w:sz w:val="30"/>
          <w:szCs w:val="30"/>
          <w14:textFill>
            <w14:solidFill>
              <w14:schemeClr w14:val="tx1"/>
            </w14:solidFill>
          </w14:textFill>
        </w:rPr>
        <w:t>工作的通知》，我中心组织力量对本中心的财政支出绩效评价进行了自评工作，本次评价遵循了“科学规范、公正公开、分类管理、绩效相关”的原则，运用科学、合理的绩效评价方法，对本单位</w:t>
      </w:r>
      <w:r>
        <w:rPr>
          <w:rFonts w:hint="eastAsia" w:ascii="仿宋" w:hAnsi="仿宋" w:eastAsia="仿宋" w:cs="宋体"/>
          <w:color w:val="000000" w:themeColor="text1"/>
          <w:kern w:val="0"/>
          <w:sz w:val="30"/>
          <w:szCs w:val="30"/>
          <w:lang w:eastAsia="zh-CN"/>
          <w14:textFill>
            <w14:solidFill>
              <w14:schemeClr w14:val="tx1"/>
            </w14:solidFill>
          </w14:textFill>
        </w:rPr>
        <w:t>2023</w:t>
      </w:r>
      <w:r>
        <w:rPr>
          <w:rFonts w:hint="eastAsia" w:ascii="仿宋" w:hAnsi="仿宋" w:eastAsia="仿宋" w:cs="宋体"/>
          <w:color w:val="000000" w:themeColor="text1"/>
          <w:kern w:val="0"/>
          <w:sz w:val="30"/>
          <w:szCs w:val="30"/>
          <w14:textFill>
            <w14:solidFill>
              <w14:schemeClr w14:val="tx1"/>
            </w14:solidFill>
          </w14:textFill>
        </w:rPr>
        <w:t>度绩效情况进行客观、公正的评价。现将整体支出绩效自评汇报如下：</w:t>
      </w:r>
    </w:p>
    <w:p>
      <w:pPr>
        <w:pStyle w:val="8"/>
        <w:keepNext w:val="0"/>
        <w:keepLines w:val="0"/>
        <w:pageBreakBefore w:val="0"/>
        <w:widowControl/>
        <w:numPr>
          <w:ilvl w:val="0"/>
          <w:numId w:val="0"/>
        </w:numPr>
        <w:kinsoku/>
        <w:wordWrap/>
        <w:overflowPunct/>
        <w:topLinePunct w:val="0"/>
        <w:autoSpaceDE/>
        <w:autoSpaceDN/>
        <w:bidi w:val="0"/>
        <w:adjustRightInd/>
        <w:snapToGrid/>
        <w:spacing w:line="600" w:lineRule="exact"/>
        <w:ind w:left="420" w:leftChars="0"/>
        <w:jc w:val="left"/>
        <w:textAlignment w:val="auto"/>
        <w:rPr>
          <w:rFonts w:cs="宋体" w:asciiTheme="minorEastAsia" w:hAnsiTheme="minorEastAsia"/>
          <w:b/>
          <w:color w:val="000000" w:themeColor="text1"/>
          <w:kern w:val="0"/>
          <w:sz w:val="30"/>
          <w:szCs w:val="30"/>
          <w14:textFill>
            <w14:solidFill>
              <w14:schemeClr w14:val="tx1"/>
            </w14:solidFill>
          </w14:textFill>
        </w:rPr>
      </w:pPr>
      <w:r>
        <w:rPr>
          <w:rFonts w:hint="eastAsia" w:cs="宋体" w:asciiTheme="minorEastAsia" w:hAnsiTheme="minorEastAsia"/>
          <w:b/>
          <w:color w:val="000000" w:themeColor="text1"/>
          <w:kern w:val="0"/>
          <w:sz w:val="30"/>
          <w:szCs w:val="30"/>
          <w:lang w:eastAsia="zh-CN"/>
          <w14:textFill>
            <w14:solidFill>
              <w14:schemeClr w14:val="tx1"/>
            </w14:solidFill>
          </w14:textFill>
        </w:rPr>
        <w:t>一、部门</w:t>
      </w:r>
      <w:r>
        <w:rPr>
          <w:rFonts w:hint="eastAsia" w:cs="宋体" w:asciiTheme="minorEastAsia" w:hAnsiTheme="minorEastAsia"/>
          <w:b/>
          <w:color w:val="000000" w:themeColor="text1"/>
          <w:kern w:val="0"/>
          <w:sz w:val="30"/>
          <w:szCs w:val="30"/>
          <w14:textFill>
            <w14:solidFill>
              <w14:schemeClr w14:val="tx1"/>
            </w14:solidFill>
          </w14:textFill>
        </w:rPr>
        <w:t>基本情况</w:t>
      </w:r>
    </w:p>
    <w:p>
      <w:pPr>
        <w:keepNext w:val="0"/>
        <w:keepLines w:val="0"/>
        <w:pageBreakBefore w:val="0"/>
        <w:widowControl/>
        <w:kinsoku/>
        <w:wordWrap/>
        <w:overflowPunct/>
        <w:topLinePunct w:val="0"/>
        <w:autoSpaceDE/>
        <w:autoSpaceDN/>
        <w:bidi w:val="0"/>
        <w:adjustRightInd/>
        <w:snapToGrid/>
        <w:spacing w:line="600" w:lineRule="exact"/>
        <w:ind w:firstLine="420"/>
        <w:textAlignment w:val="auto"/>
        <w:rPr>
          <w:rFonts w:ascii="仿宋" w:hAnsi="仿宋" w:eastAsia="仿宋"/>
          <w:color w:val="000000"/>
          <w:sz w:val="30"/>
          <w:szCs w:val="30"/>
        </w:rPr>
      </w:pPr>
      <w:r>
        <w:rPr>
          <w:rFonts w:hint="eastAsia" w:ascii="仿宋" w:hAnsi="仿宋" w:eastAsia="仿宋" w:cs="宋体"/>
          <w:color w:val="000000" w:themeColor="text1"/>
          <w:kern w:val="0"/>
          <w:sz w:val="30"/>
          <w:szCs w:val="30"/>
          <w14:textFill>
            <w14:solidFill>
              <w14:schemeClr w14:val="tx1"/>
            </w14:solidFill>
          </w14:textFill>
        </w:rPr>
        <w:t>市公共资源交易中心为市政府直属正处级事业单位，既是全市公共资源交易平台服务机构，也是全市政府集中采购机构。主要</w:t>
      </w:r>
      <w:r>
        <w:rPr>
          <w:rFonts w:hint="eastAsia" w:ascii="仿宋" w:hAnsi="仿宋" w:eastAsia="仿宋"/>
          <w:color w:val="000000"/>
          <w:sz w:val="30"/>
          <w:szCs w:val="30"/>
        </w:rPr>
        <w:t>负责组织全市的工程建设项目招投标、土地使用权与矿业权交易、国有产权交易、主要污染物排污权交易、政府采购、医用耗材与医疗器械采购等公共资源交易活动。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ascii="Calibri" w:hAnsi="Calibri" w:eastAsia="微软雅黑"/>
          <w:color w:val="333333"/>
          <w:sz w:val="21"/>
          <w:szCs w:val="21"/>
        </w:rPr>
      </w:pPr>
      <w:r>
        <w:rPr>
          <w:rFonts w:hint="eastAsia" w:ascii="仿宋" w:hAnsi="仿宋" w:eastAsia="仿宋"/>
          <w:color w:val="000000" w:themeColor="text1"/>
          <w:sz w:val="30"/>
          <w:szCs w:val="30"/>
          <w14:textFill>
            <w14:solidFill>
              <w14:schemeClr w14:val="tx1"/>
            </w14:solidFill>
          </w14:textFill>
        </w:rPr>
        <w:t>1、部门人员及公务用车情况。</w:t>
      </w:r>
      <w:r>
        <w:rPr>
          <w:rFonts w:hint="eastAsia" w:ascii="仿宋" w:hAnsi="仿宋" w:eastAsia="仿宋"/>
          <w:color w:val="000000"/>
          <w:sz w:val="32"/>
          <w:szCs w:val="32"/>
        </w:rPr>
        <w:t>2016年中心机构升格为市政府直属正处级全额拨款公益一类事业单位，全市所有公共资源交易业务全部进入市中心。中心核编4</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人，其中：</w:t>
      </w:r>
      <w:r>
        <w:rPr>
          <w:rFonts w:hint="eastAsia" w:ascii="仿宋" w:eastAsia="仿宋" w:cs="仿宋"/>
          <w:sz w:val="30"/>
          <w:szCs w:val="30"/>
        </w:rPr>
        <w:t>主任1名、副主任2名、正副科级干部1</w:t>
      </w:r>
      <w:r>
        <w:rPr>
          <w:rFonts w:hint="eastAsia" w:ascii="仿宋" w:eastAsia="仿宋" w:cs="仿宋"/>
          <w:sz w:val="30"/>
          <w:szCs w:val="30"/>
          <w:lang w:val="en-US" w:eastAsia="zh-CN"/>
        </w:rPr>
        <w:t>8</w:t>
      </w:r>
      <w:r>
        <w:rPr>
          <w:rFonts w:hint="eastAsia" w:ascii="仿宋" w:eastAsia="仿宋" w:cs="仿宋"/>
          <w:sz w:val="30"/>
          <w:szCs w:val="30"/>
        </w:rPr>
        <w:t>名。内设办公室、人事科、财务科、信息技术科、监督服务科、市场服务科、工程建设科、政府采购科、国土资源交易科、国有产权交易科</w:t>
      </w:r>
      <w:r>
        <w:rPr>
          <w:rFonts w:hint="eastAsia" w:ascii="仿宋" w:eastAsia="仿宋" w:cs="仿宋"/>
          <w:sz w:val="30"/>
          <w:szCs w:val="30"/>
          <w:lang w:eastAsia="zh-CN"/>
        </w:rPr>
        <w:t>、</w:t>
      </w:r>
      <w:r>
        <w:rPr>
          <w:rFonts w:ascii="仿宋_GB2312" w:hAnsi="Calibri" w:eastAsia="仿宋_GB2312" w:cs="仿宋_GB2312"/>
          <w:color w:val="333333"/>
          <w:kern w:val="0"/>
          <w:sz w:val="32"/>
          <w:szCs w:val="32"/>
          <w:lang w:val="en-US" w:eastAsia="zh-CN" w:bidi="ar"/>
        </w:rPr>
        <w:t>社会项目交易科</w:t>
      </w:r>
      <w:r>
        <w:rPr>
          <w:rFonts w:hint="eastAsia" w:ascii="仿宋" w:eastAsia="仿宋" w:cs="仿宋"/>
          <w:sz w:val="30"/>
          <w:szCs w:val="30"/>
        </w:rPr>
        <w:t>1</w:t>
      </w:r>
      <w:r>
        <w:rPr>
          <w:rFonts w:hint="eastAsia" w:ascii="仿宋" w:eastAsia="仿宋" w:cs="仿宋"/>
          <w:sz w:val="30"/>
          <w:szCs w:val="30"/>
          <w:lang w:val="en-US" w:eastAsia="zh-CN"/>
        </w:rPr>
        <w:t>1</w:t>
      </w:r>
      <w:r>
        <w:rPr>
          <w:rFonts w:hint="eastAsia" w:ascii="仿宋" w:eastAsia="仿宋" w:cs="仿宋"/>
          <w:sz w:val="30"/>
          <w:szCs w:val="30"/>
        </w:rPr>
        <w:t>个科室。中心当年实有人数</w:t>
      </w:r>
      <w:r>
        <w:rPr>
          <w:rFonts w:hint="eastAsia" w:ascii="仿宋" w:eastAsia="仿宋" w:cs="仿宋"/>
          <w:sz w:val="30"/>
          <w:szCs w:val="30"/>
          <w:lang w:val="en-US" w:eastAsia="zh-CN"/>
        </w:rPr>
        <w:t>55</w:t>
      </w:r>
      <w:r>
        <w:rPr>
          <w:rFonts w:hint="eastAsia" w:ascii="仿宋" w:eastAsia="仿宋" w:cs="仿宋"/>
          <w:sz w:val="30"/>
          <w:szCs w:val="30"/>
        </w:rPr>
        <w:t>人，其中在职人员4</w:t>
      </w:r>
      <w:r>
        <w:rPr>
          <w:rFonts w:hint="eastAsia" w:ascii="仿宋" w:eastAsia="仿宋" w:cs="仿宋"/>
          <w:sz w:val="30"/>
          <w:szCs w:val="30"/>
          <w:lang w:val="en-US" w:eastAsia="zh-CN"/>
        </w:rPr>
        <w:t>5</w:t>
      </w:r>
      <w:r>
        <w:rPr>
          <w:rFonts w:hint="eastAsia" w:ascii="仿宋" w:eastAsia="仿宋" w:cs="仿宋"/>
          <w:sz w:val="30"/>
          <w:szCs w:val="30"/>
        </w:rPr>
        <w:t>人，退休人员10人。</w:t>
      </w:r>
      <w:r>
        <w:rPr>
          <w:rFonts w:hint="eastAsia" w:ascii="仿宋" w:hAnsi="仿宋" w:eastAsia="仿宋"/>
          <w:color w:val="000000" w:themeColor="text1"/>
          <w:sz w:val="30"/>
          <w:szCs w:val="30"/>
          <w14:textFill>
            <w14:solidFill>
              <w14:schemeClr w14:val="tx1"/>
            </w14:solidFill>
          </w14:textFill>
        </w:rPr>
        <w:t>一般公务用车1辆。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eastAsia="仿宋" w:cs="仿宋"/>
          <w:sz w:val="30"/>
          <w:szCs w:val="30"/>
          <w:lang w:val="en-US" w:eastAsia="zh-CN"/>
        </w:rPr>
      </w:pPr>
      <w:r>
        <w:rPr>
          <w:rFonts w:hint="eastAsia" w:ascii="仿宋" w:hAnsi="仿宋" w:eastAsia="仿宋" w:cs="宋体"/>
          <w:color w:val="000000" w:themeColor="text1"/>
          <w:kern w:val="0"/>
          <w:sz w:val="30"/>
          <w:szCs w:val="30"/>
          <w14:textFill>
            <w14:solidFill>
              <w14:schemeClr w14:val="tx1"/>
            </w14:solidFill>
          </w14:textFill>
        </w:rPr>
        <w:t>2、部门决算</w:t>
      </w:r>
      <w:r>
        <w:rPr>
          <w:rFonts w:hint="eastAsia" w:ascii="仿宋" w:eastAsia="仿宋" w:cs="仿宋"/>
          <w:sz w:val="30"/>
          <w:szCs w:val="30"/>
        </w:rPr>
        <w:t>情况。</w:t>
      </w:r>
      <w:r>
        <w:rPr>
          <w:rFonts w:hint="eastAsia" w:ascii="仿宋" w:eastAsia="仿宋" w:cs="仿宋"/>
          <w:sz w:val="30"/>
          <w:szCs w:val="30"/>
          <w:lang w:eastAsia="zh-CN"/>
        </w:rPr>
        <w:t>2023</w:t>
      </w:r>
      <w:r>
        <w:rPr>
          <w:rFonts w:hint="eastAsia" w:ascii="仿宋" w:eastAsia="仿宋" w:cs="仿宋"/>
          <w:sz w:val="30"/>
          <w:szCs w:val="30"/>
        </w:rPr>
        <w:t>年决算总收入</w:t>
      </w:r>
      <w:r>
        <w:rPr>
          <w:rFonts w:hint="eastAsia" w:ascii="仿宋" w:eastAsia="仿宋" w:cs="仿宋"/>
          <w:sz w:val="30"/>
          <w:szCs w:val="30"/>
          <w:lang w:val="en-US" w:eastAsia="zh-CN"/>
        </w:rPr>
        <w:t>1982.89</w:t>
      </w:r>
      <w:r>
        <w:rPr>
          <w:rFonts w:hint="eastAsia" w:ascii="仿宋" w:eastAsia="仿宋" w:cs="仿宋"/>
          <w:sz w:val="30"/>
          <w:szCs w:val="30"/>
        </w:rPr>
        <w:t>万元（其中公共财政预算拨款收入</w:t>
      </w:r>
      <w:r>
        <w:rPr>
          <w:rFonts w:hint="eastAsia" w:ascii="仿宋" w:eastAsia="仿宋" w:cs="仿宋"/>
          <w:sz w:val="30"/>
          <w:szCs w:val="30"/>
          <w:lang w:val="en-US" w:eastAsia="zh-CN"/>
        </w:rPr>
        <w:t>870.84</w:t>
      </w:r>
      <w:r>
        <w:rPr>
          <w:rFonts w:hint="eastAsia" w:ascii="仿宋" w:eastAsia="仿宋" w:cs="仿宋"/>
          <w:sz w:val="30"/>
          <w:szCs w:val="30"/>
        </w:rPr>
        <w:t>万元，财政专户拨款</w:t>
      </w:r>
      <w:r>
        <w:rPr>
          <w:rFonts w:hint="eastAsia" w:ascii="仿宋" w:eastAsia="仿宋" w:cs="仿宋"/>
          <w:sz w:val="30"/>
          <w:szCs w:val="30"/>
          <w:lang w:val="en-US" w:eastAsia="zh-CN"/>
        </w:rPr>
        <w:t>1112.05</w:t>
      </w:r>
      <w:r>
        <w:rPr>
          <w:rFonts w:hint="eastAsia" w:ascii="仿宋" w:eastAsia="仿宋" w:cs="仿宋"/>
          <w:sz w:val="30"/>
          <w:szCs w:val="30"/>
        </w:rPr>
        <w:t>万元，决算总支出</w:t>
      </w:r>
      <w:r>
        <w:rPr>
          <w:rFonts w:hint="eastAsia" w:ascii="仿宋" w:eastAsia="仿宋" w:cs="仿宋"/>
          <w:sz w:val="30"/>
          <w:szCs w:val="30"/>
          <w:lang w:val="en-US" w:eastAsia="zh-CN"/>
        </w:rPr>
        <w:t>1982.89</w:t>
      </w:r>
      <w:r>
        <w:rPr>
          <w:rFonts w:hint="eastAsia" w:ascii="仿宋" w:eastAsia="仿宋" w:cs="仿宋"/>
          <w:sz w:val="30"/>
          <w:szCs w:val="30"/>
        </w:rPr>
        <w:t>万元，</w:t>
      </w:r>
      <w:r>
        <w:rPr>
          <w:rFonts w:hint="eastAsia" w:ascii="仿宋" w:eastAsia="仿宋" w:cs="仿宋"/>
          <w:sz w:val="30"/>
          <w:szCs w:val="30"/>
          <w:lang w:eastAsia="zh-CN"/>
        </w:rPr>
        <w:t>年初预算完成率</w:t>
      </w:r>
      <w:r>
        <w:rPr>
          <w:rFonts w:hint="eastAsia" w:ascii="仿宋" w:eastAsia="仿宋" w:cs="仿宋"/>
          <w:sz w:val="30"/>
          <w:szCs w:val="30"/>
          <w:lang w:val="en-US" w:eastAsia="zh-CN"/>
        </w:rPr>
        <w:t>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cs="宋体" w:asciiTheme="minorEastAsia" w:hAnsiTheme="minorEastAsia" w:eastAsiaTheme="minorEastAsia"/>
          <w:b/>
          <w:color w:val="000000" w:themeColor="text1"/>
          <w:kern w:val="0"/>
          <w:sz w:val="30"/>
          <w:szCs w:val="30"/>
          <w:lang w:val="en-US" w:eastAsia="zh-CN" w:bidi="ar-SA"/>
          <w14:textFill>
            <w14:solidFill>
              <w14:schemeClr w14:val="tx1"/>
            </w14:solidFill>
          </w14:textFill>
        </w:rPr>
      </w:pPr>
      <w:r>
        <w:rPr>
          <w:rFonts w:hint="eastAsia" w:cs="宋体" w:asciiTheme="minorEastAsia" w:hAnsiTheme="minorEastAsia" w:eastAsiaTheme="minorEastAsia"/>
          <w:b/>
          <w:color w:val="000000" w:themeColor="text1"/>
          <w:kern w:val="0"/>
          <w:sz w:val="30"/>
          <w:szCs w:val="30"/>
          <w:lang w:val="en-US" w:eastAsia="zh-CN" w:bidi="ar-SA"/>
          <w14:textFill>
            <w14:solidFill>
              <w14:schemeClr w14:val="tx1"/>
            </w14:solidFill>
          </w14:textFill>
        </w:rPr>
        <w:t>二、一般公共预算支出情况</w:t>
      </w:r>
    </w:p>
    <w:p>
      <w:pPr>
        <w:keepNext w:val="0"/>
        <w:keepLines w:val="0"/>
        <w:pageBreakBefore w:val="0"/>
        <w:widowControl/>
        <w:kinsoku/>
        <w:wordWrap/>
        <w:overflowPunct/>
        <w:topLinePunct w:val="0"/>
        <w:autoSpaceDE/>
        <w:autoSpaceDN/>
        <w:bidi w:val="0"/>
        <w:adjustRightInd/>
        <w:snapToGrid/>
        <w:spacing w:line="580" w:lineRule="exact"/>
        <w:ind w:firstLine="602" w:firstLineChars="200"/>
        <w:jc w:val="left"/>
        <w:textAlignment w:val="auto"/>
        <w:rPr>
          <w:rFonts w:hint="eastAsia" w:ascii="仿宋" w:hAnsi="仿宋" w:eastAsia="仿宋" w:cs="宋体"/>
          <w:b/>
          <w:bCs/>
          <w:color w:val="000000" w:themeColor="text1"/>
          <w:kern w:val="0"/>
          <w:sz w:val="30"/>
          <w:szCs w:val="30"/>
          <w:lang w:val="en-US" w:eastAsia="zh-CN"/>
          <w14:textFill>
            <w14:solidFill>
              <w14:schemeClr w14:val="tx1"/>
            </w14:solidFill>
          </w14:textFill>
        </w:rPr>
      </w:pPr>
      <w:r>
        <w:rPr>
          <w:rFonts w:hint="eastAsia" w:ascii="仿宋" w:hAnsi="仿宋" w:eastAsia="仿宋" w:cs="宋体"/>
          <w:b/>
          <w:bCs/>
          <w:color w:val="000000" w:themeColor="text1"/>
          <w:kern w:val="0"/>
          <w:sz w:val="30"/>
          <w:szCs w:val="30"/>
          <w:lang w:val="en-US" w:eastAsia="zh-CN"/>
          <w14:textFill>
            <w14:solidFill>
              <w14:schemeClr w14:val="tx1"/>
            </w14:solidFill>
          </w14:textFill>
        </w:rPr>
        <w:t>（一）基本支出情况</w:t>
      </w:r>
    </w:p>
    <w:p>
      <w:pPr>
        <w:widowControl/>
        <w:spacing w:line="500" w:lineRule="exact"/>
        <w:ind w:firstLine="660"/>
        <w:jc w:val="left"/>
        <w:rPr>
          <w:rFonts w:hint="eastAsia" w:ascii="仿宋_GB2312" w:hAnsi="仿宋" w:eastAsia="仿宋_GB2312"/>
          <w:sz w:val="32"/>
          <w:szCs w:val="32"/>
          <w:highlight w:val="none"/>
        </w:rPr>
      </w:pPr>
      <w:r>
        <w:rPr>
          <w:rFonts w:hint="eastAsia" w:ascii="仿宋" w:hAnsi="仿宋" w:eastAsia="仿宋"/>
          <w:sz w:val="30"/>
          <w:szCs w:val="30"/>
          <w:highlight w:val="none"/>
          <w:lang w:eastAsia="zh-CN"/>
        </w:rPr>
        <w:t>2023</w:t>
      </w:r>
      <w:r>
        <w:rPr>
          <w:rFonts w:ascii="仿宋" w:hAnsi="仿宋" w:eastAsia="仿宋"/>
          <w:sz w:val="30"/>
          <w:szCs w:val="30"/>
          <w:highlight w:val="none"/>
        </w:rPr>
        <w:t>年一般公共预算拨款收入</w:t>
      </w:r>
      <w:r>
        <w:rPr>
          <w:rFonts w:hint="eastAsia" w:ascii="仿宋" w:hAnsi="仿宋" w:eastAsia="仿宋"/>
          <w:sz w:val="30"/>
          <w:szCs w:val="30"/>
          <w:highlight w:val="none"/>
          <w:lang w:eastAsia="zh-CN"/>
        </w:rPr>
        <w:t>年初预算数为</w:t>
      </w:r>
      <w:r>
        <w:rPr>
          <w:rFonts w:hint="eastAsia" w:ascii="仿宋" w:hAnsi="仿宋" w:eastAsia="仿宋"/>
          <w:sz w:val="30"/>
          <w:szCs w:val="30"/>
          <w:highlight w:val="none"/>
          <w:lang w:val="en-US" w:eastAsia="zh-CN"/>
        </w:rPr>
        <w:t>680.71</w:t>
      </w:r>
      <w:r>
        <w:rPr>
          <w:rFonts w:ascii="仿宋" w:hAnsi="仿宋" w:eastAsia="仿宋"/>
          <w:sz w:val="30"/>
          <w:szCs w:val="30"/>
          <w:highlight w:val="none"/>
        </w:rPr>
        <w:t>万元</w:t>
      </w:r>
      <w:r>
        <w:rPr>
          <w:rFonts w:hint="eastAsia" w:ascii="仿宋" w:hAnsi="仿宋" w:eastAsia="仿宋"/>
          <w:sz w:val="30"/>
          <w:szCs w:val="30"/>
          <w:highlight w:val="none"/>
          <w:lang w:eastAsia="zh-CN"/>
        </w:rPr>
        <w:t>，决算收入数为</w:t>
      </w:r>
      <w:r>
        <w:rPr>
          <w:rFonts w:hint="eastAsia" w:ascii="仿宋" w:hAnsi="仿宋" w:eastAsia="仿宋"/>
          <w:sz w:val="30"/>
          <w:szCs w:val="30"/>
          <w:highlight w:val="none"/>
          <w:lang w:val="en-US" w:eastAsia="zh-CN"/>
        </w:rPr>
        <w:t>870.84万元，决算</w:t>
      </w:r>
      <w:r>
        <w:rPr>
          <w:rFonts w:hint="eastAsia" w:ascii="仿宋" w:hAnsi="仿宋" w:eastAsia="仿宋"/>
          <w:sz w:val="30"/>
          <w:szCs w:val="30"/>
          <w:highlight w:val="none"/>
        </w:rPr>
        <w:t>支出</w:t>
      </w:r>
      <w:r>
        <w:rPr>
          <w:rFonts w:hint="eastAsia" w:ascii="仿宋" w:hAnsi="仿宋" w:eastAsia="仿宋"/>
          <w:sz w:val="30"/>
          <w:szCs w:val="30"/>
          <w:highlight w:val="none"/>
          <w:lang w:eastAsia="zh-CN"/>
        </w:rPr>
        <w:t>数</w:t>
      </w:r>
      <w:r>
        <w:rPr>
          <w:rFonts w:hint="eastAsia" w:ascii="仿宋" w:hAnsi="仿宋" w:eastAsia="仿宋"/>
          <w:sz w:val="30"/>
          <w:szCs w:val="30"/>
          <w:highlight w:val="none"/>
        </w:rPr>
        <w:t>为</w:t>
      </w:r>
      <w:r>
        <w:rPr>
          <w:rFonts w:hint="eastAsia" w:ascii="仿宋" w:hAnsi="仿宋" w:eastAsia="仿宋"/>
          <w:sz w:val="30"/>
          <w:szCs w:val="30"/>
          <w:highlight w:val="none"/>
          <w:lang w:val="en-US" w:eastAsia="zh-CN"/>
        </w:rPr>
        <w:t>870.84</w:t>
      </w:r>
      <w:r>
        <w:rPr>
          <w:rFonts w:hint="eastAsia" w:ascii="仿宋" w:hAnsi="仿宋" w:eastAsia="仿宋"/>
          <w:sz w:val="30"/>
          <w:szCs w:val="30"/>
          <w:highlight w:val="none"/>
        </w:rPr>
        <w:t>万元，主要用于</w:t>
      </w:r>
      <w:r>
        <w:rPr>
          <w:rFonts w:hint="eastAsia" w:ascii="仿宋" w:hAnsi="仿宋" w:eastAsia="仿宋"/>
          <w:sz w:val="30"/>
          <w:szCs w:val="30"/>
          <w:highlight w:val="none"/>
          <w:lang w:eastAsia="zh-CN"/>
        </w:rPr>
        <w:t>一般公共服务支出</w:t>
      </w:r>
      <w:r>
        <w:rPr>
          <w:rFonts w:hint="eastAsia" w:ascii="仿宋" w:hAnsi="仿宋" w:eastAsia="仿宋"/>
          <w:sz w:val="30"/>
          <w:szCs w:val="30"/>
          <w:highlight w:val="none"/>
          <w:lang w:val="en-US" w:eastAsia="zh-CN"/>
        </w:rPr>
        <w:t>687.05万元，</w:t>
      </w:r>
      <w:r>
        <w:rPr>
          <w:rFonts w:hint="eastAsia" w:ascii="仿宋" w:hAnsi="仿宋" w:eastAsia="仿宋"/>
          <w:sz w:val="30"/>
          <w:szCs w:val="30"/>
          <w:highlight w:val="none"/>
          <w:lang w:eastAsia="zh-CN"/>
        </w:rPr>
        <w:t>社会保障和就业支出</w:t>
      </w:r>
      <w:r>
        <w:rPr>
          <w:rFonts w:hint="eastAsia" w:ascii="仿宋" w:hAnsi="仿宋" w:eastAsia="仿宋"/>
          <w:sz w:val="30"/>
          <w:szCs w:val="30"/>
          <w:highlight w:val="none"/>
          <w:lang w:val="en-US" w:eastAsia="zh-CN"/>
        </w:rPr>
        <w:t>95.33</w:t>
      </w:r>
      <w:r>
        <w:rPr>
          <w:rFonts w:hint="eastAsia" w:ascii="仿宋" w:hAnsi="仿宋" w:eastAsia="仿宋"/>
          <w:sz w:val="30"/>
          <w:szCs w:val="30"/>
          <w:highlight w:val="none"/>
        </w:rPr>
        <w:t>万元，</w:t>
      </w:r>
      <w:r>
        <w:rPr>
          <w:rFonts w:hint="eastAsia" w:ascii="仿宋" w:hAnsi="仿宋" w:eastAsia="仿宋"/>
          <w:sz w:val="30"/>
          <w:szCs w:val="30"/>
          <w:highlight w:val="none"/>
          <w:lang w:eastAsia="zh-CN"/>
        </w:rPr>
        <w:t>卫生健康支出</w:t>
      </w:r>
      <w:r>
        <w:rPr>
          <w:rFonts w:hint="eastAsia" w:ascii="仿宋" w:hAnsi="仿宋" w:eastAsia="仿宋"/>
          <w:sz w:val="30"/>
          <w:szCs w:val="30"/>
          <w:highlight w:val="none"/>
          <w:lang w:val="en-US" w:eastAsia="zh-CN"/>
        </w:rPr>
        <w:t>43.46万元，</w:t>
      </w:r>
      <w:r>
        <w:rPr>
          <w:rFonts w:hint="eastAsia" w:ascii="仿宋" w:hAnsi="仿宋" w:eastAsia="仿宋"/>
          <w:sz w:val="30"/>
          <w:szCs w:val="30"/>
          <w:highlight w:val="none"/>
          <w:lang w:eastAsia="zh-CN"/>
        </w:rPr>
        <w:t>住房保障支出</w:t>
      </w:r>
      <w:r>
        <w:rPr>
          <w:rFonts w:hint="eastAsia" w:ascii="仿宋" w:hAnsi="仿宋" w:eastAsia="仿宋"/>
          <w:sz w:val="30"/>
          <w:szCs w:val="30"/>
          <w:highlight w:val="none"/>
          <w:lang w:val="en-US" w:eastAsia="zh-CN"/>
        </w:rPr>
        <w:t>45万元。主要是用于2023年在职干职工基本工资及绩效工资的支付，全部为基本支出，无项目支出。</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02" w:firstLineChars="200"/>
        <w:jc w:val="left"/>
        <w:textAlignment w:val="auto"/>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（二）项目支出情况</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900" w:firstLineChars="300"/>
        <w:jc w:val="left"/>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2023年无一般公共预算项目支出。</w:t>
      </w:r>
    </w:p>
    <w:p>
      <w:pPr>
        <w:keepNext w:val="0"/>
        <w:keepLines w:val="0"/>
        <w:pageBreakBefore w:val="0"/>
        <w:widowControl/>
        <w:kinsoku/>
        <w:wordWrap/>
        <w:overflowPunct/>
        <w:topLinePunct w:val="0"/>
        <w:autoSpaceDE/>
        <w:autoSpaceDN/>
        <w:bidi w:val="0"/>
        <w:adjustRightInd/>
        <w:snapToGrid/>
        <w:spacing w:line="580" w:lineRule="exact"/>
        <w:ind w:firstLine="602" w:firstLineChars="200"/>
        <w:jc w:val="left"/>
        <w:textAlignment w:val="auto"/>
        <w:rPr>
          <w:rFonts w:hint="eastAsia" w:ascii="宋体" w:hAnsi="宋体" w:eastAsia="宋体" w:cs="宋体"/>
          <w:b/>
          <w:bCs/>
          <w:color w:val="000000" w:themeColor="text1"/>
          <w:kern w:val="0"/>
          <w:sz w:val="30"/>
          <w:szCs w:val="30"/>
          <w:lang w:val="en-US" w:eastAsia="zh-CN"/>
          <w14:textFill>
            <w14:solidFill>
              <w14:schemeClr w14:val="tx1"/>
            </w14:solidFill>
          </w14:textFill>
        </w:rPr>
      </w:pPr>
      <w:r>
        <w:rPr>
          <w:rFonts w:hint="eastAsia" w:ascii="宋体" w:hAnsi="宋体" w:eastAsia="宋体" w:cs="宋体"/>
          <w:b/>
          <w:bCs/>
          <w:color w:val="000000" w:themeColor="text1"/>
          <w:kern w:val="0"/>
          <w:sz w:val="30"/>
          <w:szCs w:val="30"/>
          <w:lang w:val="en-US" w:eastAsia="zh-CN"/>
          <w14:textFill>
            <w14:solidFill>
              <w14:schemeClr w14:val="tx1"/>
            </w14:solidFill>
          </w14:textFill>
        </w:rPr>
        <w:t>三、政府性基金预算支出情况</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552" w:leftChars="0"/>
        <w:jc w:val="left"/>
        <w:textAlignment w:val="auto"/>
        <w:rPr>
          <w:rFonts w:hint="default" w:ascii="仿宋" w:hAnsi="仿宋" w:eastAsia="仿宋"/>
          <w:sz w:val="30"/>
          <w:szCs w:val="30"/>
          <w:lang w:val="en-US" w:eastAsia="zh-CN"/>
        </w:rPr>
      </w:pPr>
      <w:r>
        <w:rPr>
          <w:rFonts w:hint="eastAsia" w:ascii="仿宋" w:hAnsi="仿宋" w:eastAsia="仿宋"/>
          <w:sz w:val="30"/>
          <w:szCs w:val="30"/>
          <w:lang w:val="en-US" w:eastAsia="zh-CN"/>
        </w:rPr>
        <w:t>2023年无政府性基金预算支出</w:t>
      </w:r>
    </w:p>
    <w:p>
      <w:pPr>
        <w:keepNext w:val="0"/>
        <w:keepLines w:val="0"/>
        <w:pageBreakBefore w:val="0"/>
        <w:widowControl/>
        <w:kinsoku/>
        <w:wordWrap/>
        <w:overflowPunct/>
        <w:topLinePunct w:val="0"/>
        <w:autoSpaceDE/>
        <w:autoSpaceDN/>
        <w:bidi w:val="0"/>
        <w:adjustRightInd/>
        <w:snapToGrid/>
        <w:spacing w:line="580" w:lineRule="exact"/>
        <w:ind w:firstLine="602" w:firstLineChars="200"/>
        <w:jc w:val="left"/>
        <w:textAlignment w:val="auto"/>
        <w:rPr>
          <w:rFonts w:hint="eastAsia" w:ascii="宋体" w:hAnsi="宋体" w:eastAsia="宋体" w:cs="宋体"/>
          <w:b/>
          <w:bCs/>
          <w:color w:val="000000" w:themeColor="text1"/>
          <w:kern w:val="0"/>
          <w:sz w:val="30"/>
          <w:szCs w:val="30"/>
          <w:lang w:val="en-US" w:eastAsia="zh-CN"/>
          <w14:textFill>
            <w14:solidFill>
              <w14:schemeClr w14:val="tx1"/>
            </w14:solidFill>
          </w14:textFill>
        </w:rPr>
      </w:pPr>
      <w:r>
        <w:rPr>
          <w:rFonts w:hint="eastAsia" w:ascii="宋体" w:hAnsi="宋体" w:eastAsia="宋体" w:cs="宋体"/>
          <w:b/>
          <w:bCs/>
          <w:color w:val="000000" w:themeColor="text1"/>
          <w:kern w:val="0"/>
          <w:sz w:val="30"/>
          <w:szCs w:val="30"/>
          <w:lang w:val="en-US" w:eastAsia="zh-CN"/>
          <w14:textFill>
            <w14:solidFill>
              <w14:schemeClr w14:val="tx1"/>
            </w14:solidFill>
          </w14:textFill>
        </w:rPr>
        <w:t>四、国有资本经营预算支出情况</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552" w:leftChars="0"/>
        <w:jc w:val="left"/>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2023年无国有资本经营预算支出</w:t>
      </w:r>
    </w:p>
    <w:p>
      <w:pPr>
        <w:keepNext w:val="0"/>
        <w:keepLines w:val="0"/>
        <w:pageBreakBefore w:val="0"/>
        <w:widowControl/>
        <w:kinsoku/>
        <w:wordWrap/>
        <w:overflowPunct/>
        <w:topLinePunct w:val="0"/>
        <w:autoSpaceDE/>
        <w:autoSpaceDN/>
        <w:bidi w:val="0"/>
        <w:adjustRightInd/>
        <w:snapToGrid/>
        <w:spacing w:line="580" w:lineRule="exact"/>
        <w:ind w:firstLine="602" w:firstLineChars="200"/>
        <w:jc w:val="left"/>
        <w:textAlignment w:val="auto"/>
        <w:rPr>
          <w:rFonts w:hint="eastAsia" w:ascii="宋体" w:hAnsi="宋体" w:eastAsia="宋体" w:cs="宋体"/>
          <w:b/>
          <w:bCs/>
          <w:color w:val="000000" w:themeColor="text1"/>
          <w:kern w:val="0"/>
          <w:sz w:val="30"/>
          <w:szCs w:val="30"/>
          <w:lang w:val="en-US" w:eastAsia="zh-CN"/>
          <w14:textFill>
            <w14:solidFill>
              <w14:schemeClr w14:val="tx1"/>
            </w14:solidFill>
          </w14:textFill>
        </w:rPr>
      </w:pPr>
      <w:r>
        <w:rPr>
          <w:rFonts w:hint="eastAsia" w:ascii="宋体" w:hAnsi="宋体" w:eastAsia="宋体" w:cs="宋体"/>
          <w:b/>
          <w:bCs/>
          <w:color w:val="000000" w:themeColor="text1"/>
          <w:kern w:val="0"/>
          <w:sz w:val="30"/>
          <w:szCs w:val="30"/>
          <w:lang w:val="en-US" w:eastAsia="zh-CN"/>
          <w14:textFill>
            <w14:solidFill>
              <w14:schemeClr w14:val="tx1"/>
            </w14:solidFill>
          </w14:textFill>
        </w:rPr>
        <w:t>五、社会保险基金预算支出情况</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552" w:leftChars="0"/>
        <w:jc w:val="left"/>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2023年无社会保险基金预算支出</w:t>
      </w:r>
    </w:p>
    <w:p>
      <w:pPr>
        <w:keepNext w:val="0"/>
        <w:keepLines w:val="0"/>
        <w:pageBreakBefore w:val="0"/>
        <w:widowControl/>
        <w:kinsoku/>
        <w:wordWrap/>
        <w:overflowPunct/>
        <w:topLinePunct w:val="0"/>
        <w:autoSpaceDE/>
        <w:autoSpaceDN/>
        <w:bidi w:val="0"/>
        <w:adjustRightInd/>
        <w:snapToGrid/>
        <w:spacing w:line="580" w:lineRule="exact"/>
        <w:ind w:firstLine="602" w:firstLineChars="200"/>
        <w:jc w:val="left"/>
        <w:textAlignment w:val="auto"/>
        <w:rPr>
          <w:rFonts w:hint="eastAsia" w:ascii="宋体" w:hAnsi="宋体" w:eastAsia="宋体" w:cs="宋体"/>
          <w:b/>
          <w:bCs/>
          <w:color w:val="000000" w:themeColor="text1"/>
          <w:kern w:val="0"/>
          <w:sz w:val="30"/>
          <w:szCs w:val="30"/>
          <w:lang w:val="en-US" w:eastAsia="zh-CN"/>
          <w14:textFill>
            <w14:solidFill>
              <w14:schemeClr w14:val="tx1"/>
            </w14:solidFill>
          </w14:textFill>
        </w:rPr>
      </w:pPr>
      <w:r>
        <w:rPr>
          <w:rFonts w:hint="eastAsia" w:ascii="宋体" w:hAnsi="宋体" w:eastAsia="宋体" w:cs="宋体"/>
          <w:b/>
          <w:bCs/>
          <w:color w:val="000000" w:themeColor="text1"/>
          <w:kern w:val="0"/>
          <w:sz w:val="30"/>
          <w:szCs w:val="30"/>
          <w:lang w:val="en-US" w:eastAsia="zh-CN"/>
          <w14:textFill>
            <w14:solidFill>
              <w14:schemeClr w14:val="tx1"/>
            </w14:solidFill>
          </w14:textFill>
        </w:rPr>
        <w:t>六、部门整体支出绩效情况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全年累计完成公共资源交易项目2161宗，成交金额196.9759亿元，</w:t>
      </w:r>
      <w:r>
        <w:rPr>
          <w:rFonts w:hint="eastAsia" w:ascii="仿宋_GB2312" w:hAnsi="仿宋_GB2312" w:eastAsia="仿宋_GB2312" w:cs="仿宋_GB2312"/>
          <w:b w:val="0"/>
          <w:bCs w:val="0"/>
          <w:sz w:val="32"/>
          <w:szCs w:val="32"/>
          <w:lang w:val="en" w:eastAsia="zh-CN"/>
        </w:rPr>
        <w:t>项目交易</w:t>
      </w:r>
      <w:r>
        <w:rPr>
          <w:rFonts w:hint="eastAsia" w:ascii="仿宋_GB2312" w:hAnsi="仿宋_GB2312" w:eastAsia="仿宋_GB2312" w:cs="仿宋_GB2312"/>
          <w:b w:val="0"/>
          <w:bCs w:val="0"/>
          <w:sz w:val="32"/>
          <w:szCs w:val="32"/>
          <w:lang w:val="en-US" w:eastAsia="zh-CN"/>
        </w:rPr>
        <w:t>为政府增收节资7.0435亿元，收取交易服务费2271.39万元。其中工程建设项目</w:t>
      </w:r>
      <w:r>
        <w:rPr>
          <w:rFonts w:hint="eastAsia" w:ascii="仿宋_GB2312" w:hAnsi="仿宋_GB2312" w:eastAsia="仿宋_GB2312" w:cs="仿宋_GB2312"/>
          <w:sz w:val="32"/>
          <w:szCs w:val="32"/>
          <w:lang w:eastAsia="zh-CN"/>
        </w:rPr>
        <w:t>交易</w:t>
      </w:r>
      <w:r>
        <w:rPr>
          <w:rFonts w:hint="eastAsia" w:ascii="仿宋_GB2312" w:hAnsi="仿宋_GB2312" w:eastAsia="仿宋_GB2312" w:cs="仿宋_GB2312"/>
          <w:b w:val="0"/>
          <w:bCs w:val="0"/>
          <w:sz w:val="32"/>
          <w:szCs w:val="32"/>
          <w:lang w:val="en-US" w:eastAsia="zh-CN"/>
        </w:rPr>
        <w:t>528</w:t>
      </w:r>
      <w:r>
        <w:rPr>
          <w:rFonts w:hint="eastAsia" w:ascii="仿宋_GB2312" w:hAnsi="仿宋_GB2312" w:eastAsia="仿宋_GB2312" w:cs="仿宋_GB2312"/>
          <w:sz w:val="32"/>
          <w:szCs w:val="32"/>
          <w:lang w:eastAsia="zh-CN"/>
        </w:rPr>
        <w:t>宗，成</w:t>
      </w:r>
      <w:r>
        <w:rPr>
          <w:rFonts w:hint="eastAsia" w:ascii="仿宋_GB2312" w:hAnsi="仿宋_GB2312" w:eastAsia="仿宋_GB2312" w:cs="仿宋_GB2312"/>
          <w:b w:val="0"/>
          <w:bCs w:val="0"/>
          <w:sz w:val="32"/>
          <w:szCs w:val="32"/>
          <w:lang w:val="en-US" w:eastAsia="zh-CN"/>
        </w:rPr>
        <w:t>交金额115.359亿元；政府采购项目1072宗，成交金额30.2143亿元；土地使用权和矿业权出让165宗，成交金额28.4504亿元；国有资产项目交易227宗，成交金额0.9875亿元；社会类项目169宗，成交金额21.9647亿元。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val="en" w:eastAsia="zh-CN"/>
        </w:rPr>
        <w:t>）强化政治建设，搭建能力型平台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一是把党的政治建设摆在首位。</w:t>
      </w:r>
      <w:r>
        <w:rPr>
          <w:rFonts w:hint="eastAsia" w:ascii="CESI仿宋-GB2312" w:hAnsi="CESI仿宋-GB2312" w:eastAsia="CESI仿宋-GB2312" w:cs="CESI仿宋-GB2312"/>
          <w:b w:val="0"/>
          <w:bCs w:val="0"/>
          <w:sz w:val="32"/>
          <w:szCs w:val="32"/>
          <w:lang w:val="en-US" w:eastAsia="zh-CN"/>
        </w:rPr>
        <w:t>严格落实党组会议“第一议题”制度，全年开展党组理论中心组（扩大）学习12次。开展“三表率一模范”机关创建，</w:t>
      </w:r>
      <w:r>
        <w:rPr>
          <w:rFonts w:hint="eastAsia" w:ascii="CESI仿宋-GB2312" w:hAnsi="CESI仿宋-GB2312" w:eastAsia="CESI仿宋-GB2312" w:cs="CESI仿宋-GB2312"/>
          <w:b w:val="0"/>
          <w:bCs w:val="0"/>
          <w:sz w:val="32"/>
          <w:szCs w:val="32"/>
          <w:lang w:val="en" w:eastAsia="zh-CN"/>
        </w:rPr>
        <w:t>切实加强政治生态强基工程建设，</w:t>
      </w:r>
      <w:r>
        <w:rPr>
          <w:rFonts w:hint="eastAsia" w:ascii="CESI仿宋-GB2312" w:hAnsi="CESI仿宋-GB2312" w:eastAsia="CESI仿宋-GB2312" w:cs="CESI仿宋-GB2312"/>
          <w:b w:val="0"/>
          <w:bCs w:val="0"/>
          <w:sz w:val="32"/>
          <w:szCs w:val="32"/>
          <w:lang w:val="en-US" w:eastAsia="zh-CN"/>
        </w:rPr>
        <w:t>严格“三会一课”和各项党内政治生活制度流程，结合“执行力提升年”行动，夯实干部执行力提升理论根基，</w:t>
      </w:r>
      <w:r>
        <w:rPr>
          <w:rFonts w:hint="default" w:ascii="CESI仿宋-GB2312" w:hAnsi="CESI仿宋-GB2312" w:eastAsia="CESI仿宋-GB2312" w:cs="CESI仿宋-GB2312"/>
          <w:b w:val="0"/>
          <w:bCs w:val="0"/>
          <w:sz w:val="32"/>
          <w:szCs w:val="32"/>
          <w:lang w:val="en" w:eastAsia="zh-CN"/>
        </w:rPr>
        <w:t xml:space="preserve"> </w:t>
      </w:r>
      <w:r>
        <w:rPr>
          <w:rFonts w:hint="eastAsia" w:ascii="CESI仿宋-GB2312" w:hAnsi="CESI仿宋-GB2312" w:eastAsia="CESI仿宋-GB2312" w:cs="CESI仿宋-GB2312"/>
          <w:b w:val="0"/>
          <w:bCs w:val="0"/>
          <w:sz w:val="32"/>
          <w:szCs w:val="32"/>
          <w:lang w:val="en-US" w:eastAsia="zh-CN"/>
        </w:rPr>
        <w:t>确保干部执行力提升成效。</w:t>
      </w:r>
      <w:r>
        <w:rPr>
          <w:rFonts w:hint="eastAsia" w:ascii="CESI仿宋-GB2312" w:hAnsi="CESI仿宋-GB2312" w:eastAsia="CESI仿宋-GB2312" w:cs="CESI仿宋-GB2312"/>
          <w:b/>
          <w:bCs/>
          <w:sz w:val="32"/>
          <w:szCs w:val="32"/>
          <w:lang w:val="en-US" w:eastAsia="zh-CN"/>
        </w:rPr>
        <w:t>二是</w:t>
      </w:r>
      <w:r>
        <w:rPr>
          <w:rFonts w:hint="eastAsia" w:ascii="CESI仿宋-GB2312" w:hAnsi="CESI仿宋-GB2312" w:eastAsia="CESI仿宋-GB2312" w:cs="CESI仿宋-GB2312"/>
          <w:b/>
          <w:bCs/>
          <w:kern w:val="0"/>
          <w:sz w:val="32"/>
          <w:szCs w:val="32"/>
          <w:lang w:val="en-US" w:eastAsia="zh-CN" w:bidi="ar"/>
        </w:rPr>
        <w:t>扎实做好基层党建工作。</w:t>
      </w:r>
      <w:r>
        <w:rPr>
          <w:rFonts w:hint="eastAsia" w:ascii="CESI仿宋-GB2312" w:hAnsi="CESI仿宋-GB2312" w:eastAsia="CESI仿宋-GB2312" w:cs="CESI仿宋-GB2312"/>
          <w:sz w:val="32"/>
          <w:szCs w:val="32"/>
          <w:lang w:val="en-US" w:eastAsia="zh-CN"/>
        </w:rPr>
        <w:t>坚持“一月一课一片一实践”活动，开展主题党日</w:t>
      </w:r>
      <w:r>
        <w:rPr>
          <w:rFonts w:hint="eastAsia" w:ascii="CESI仿宋-GB2312" w:hAnsi="CESI仿宋-GB2312" w:eastAsia="CESI仿宋-GB2312" w:cs="CESI仿宋-GB2312"/>
          <w:sz w:val="32"/>
          <w:szCs w:val="32"/>
          <w:lang w:val="en" w:eastAsia="zh-CN"/>
        </w:rPr>
        <w:t>、</w:t>
      </w:r>
      <w:r>
        <w:rPr>
          <w:rFonts w:hint="eastAsia" w:ascii="CESI仿宋-GB2312" w:hAnsi="CESI仿宋-GB2312" w:eastAsia="CESI仿宋-GB2312" w:cs="CESI仿宋-GB2312"/>
          <w:sz w:val="32"/>
          <w:szCs w:val="32"/>
          <w:lang w:val="en-US" w:eastAsia="zh-CN"/>
        </w:rPr>
        <w:t>专题党课</w:t>
      </w:r>
      <w:r>
        <w:rPr>
          <w:rFonts w:hint="eastAsia" w:ascii="CESI仿宋-GB2312" w:hAnsi="CESI仿宋-GB2312" w:eastAsia="CESI仿宋-GB2312" w:cs="CESI仿宋-GB2312"/>
          <w:sz w:val="32"/>
          <w:szCs w:val="32"/>
          <w:lang w:val="en" w:eastAsia="zh-CN"/>
        </w:rPr>
        <w:t>、</w:t>
      </w:r>
      <w:r>
        <w:rPr>
          <w:rFonts w:hint="eastAsia" w:ascii="CESI仿宋-GB2312" w:hAnsi="CESI仿宋-GB2312" w:eastAsia="CESI仿宋-GB2312" w:cs="CESI仿宋-GB2312"/>
          <w:sz w:val="32"/>
          <w:szCs w:val="32"/>
          <w:lang w:val="en-US" w:eastAsia="zh-CN"/>
        </w:rPr>
        <w:t>“微党课人人讲”、</w:t>
      </w:r>
      <w:r>
        <w:rPr>
          <w:rFonts w:hint="eastAsia" w:ascii="CESI仿宋-GB2312" w:hAnsi="CESI仿宋-GB2312" w:eastAsia="CESI仿宋-GB2312" w:cs="CESI仿宋-GB2312"/>
          <w:sz w:val="32"/>
          <w:szCs w:val="32"/>
          <w:lang w:val="en" w:eastAsia="zh-CN"/>
        </w:rPr>
        <w:t>观看</w:t>
      </w:r>
      <w:r>
        <w:rPr>
          <w:rFonts w:hint="eastAsia" w:ascii="CESI仿宋-GB2312" w:hAnsi="CESI仿宋-GB2312" w:eastAsia="CESI仿宋-GB2312" w:cs="CESI仿宋-GB2312"/>
          <w:sz w:val="32"/>
          <w:szCs w:val="32"/>
          <w:lang w:val="en-US" w:eastAsia="zh-CN"/>
        </w:rPr>
        <w:t>廉政教育警示片等活动。全年</w:t>
      </w:r>
      <w:r>
        <w:rPr>
          <w:rFonts w:hint="eastAsia" w:ascii="CESI仿宋-GB2312" w:hAnsi="CESI仿宋-GB2312" w:eastAsia="CESI仿宋-GB2312" w:cs="CESI仿宋-GB2312"/>
          <w:b w:val="0"/>
          <w:bCs w:val="0"/>
          <w:kern w:val="0"/>
          <w:sz w:val="32"/>
          <w:szCs w:val="32"/>
          <w:lang w:val="en-US" w:eastAsia="zh-CN"/>
        </w:rPr>
        <w:t>高质量开展中心组学习12次，</w:t>
      </w:r>
      <w:r>
        <w:rPr>
          <w:rFonts w:hint="eastAsia" w:ascii="CESI仿宋-GB2312" w:hAnsi="CESI仿宋-GB2312" w:eastAsia="CESI仿宋-GB2312" w:cs="CESI仿宋-GB2312"/>
          <w:sz w:val="32"/>
          <w:szCs w:val="32"/>
          <w:lang w:val="en-US" w:eastAsia="zh-CN"/>
        </w:rPr>
        <w:t>召开党组会专题研究全面从严治党和党建工作7次，党组书记上专题党课2次</w:t>
      </w:r>
      <w:r>
        <w:rPr>
          <w:rFonts w:hint="eastAsia" w:ascii="CESI仿宋-GB2312" w:hAnsi="CESI仿宋-GB2312" w:eastAsia="CESI仿宋-GB2312" w:cs="CESI仿宋-GB2312"/>
          <w:b w:val="0"/>
          <w:bCs w:val="0"/>
          <w:kern w:val="0"/>
          <w:sz w:val="32"/>
          <w:szCs w:val="32"/>
          <w:lang w:val="en-US" w:eastAsia="zh-CN"/>
        </w:rPr>
        <w:t>。</w:t>
      </w:r>
      <w:r>
        <w:rPr>
          <w:rFonts w:hint="eastAsia" w:ascii="CESI仿宋-GB2312" w:hAnsi="CESI仿宋-GB2312" w:eastAsia="CESI仿宋-GB2312" w:cs="CESI仿宋-GB2312"/>
          <w:b/>
          <w:bCs/>
          <w:sz w:val="32"/>
          <w:szCs w:val="32"/>
          <w:lang w:val="en-US" w:eastAsia="zh-CN"/>
        </w:rPr>
        <w:t>三是认真</w:t>
      </w:r>
      <w:r>
        <w:rPr>
          <w:rFonts w:hint="eastAsia" w:ascii="CESI仿宋-GB2312" w:hAnsi="CESI仿宋-GB2312" w:eastAsia="CESI仿宋-GB2312" w:cs="CESI仿宋-GB2312"/>
          <w:b/>
          <w:bCs/>
          <w:kern w:val="0"/>
          <w:sz w:val="32"/>
          <w:szCs w:val="32"/>
          <w:lang w:val="en-US" w:eastAsia="zh-CN"/>
        </w:rPr>
        <w:t>开展主题教育。</w:t>
      </w:r>
      <w:r>
        <w:rPr>
          <w:rFonts w:hint="eastAsia" w:ascii="CESI仿宋-GB2312" w:hAnsi="CESI仿宋-GB2312" w:eastAsia="CESI仿宋-GB2312" w:cs="CESI仿宋-GB2312"/>
          <w:sz w:val="32"/>
          <w:szCs w:val="32"/>
          <w:lang w:val="en-US" w:eastAsia="zh-CN"/>
        </w:rPr>
        <w:t>扎实开展学习贯彻习近平新时代中国特色社会主义思想主题教育。中心党组集中学习7次，开展专题研讨6次，共计26人次围绕专题研讨结合工作实际进行微党课授课。坚持深入基层、直击交易现场，聚焦制约公共资源交易高质量发展的瓶颈短板、各市场交易主体最急最忧最盼的突出问题，上报问题信息46条，问题解决率达100%，转化实践成果30多个。中心网站共计发布相关报道6篇，其中上省级媒体3篇，上主题教育简报1次，未出现涉主题教育不良信息内容，为中心主题教育开展营造了良好的氛围。</w:t>
      </w:r>
      <w:r>
        <w:rPr>
          <w:rFonts w:hint="eastAsia" w:ascii="CESI仿宋-GB2312" w:hAnsi="CESI仿宋-GB2312" w:eastAsia="CESI仿宋-GB2312" w:cs="CESI仿宋-GB2312"/>
          <w:b/>
          <w:bCs/>
          <w:sz w:val="32"/>
          <w:szCs w:val="32"/>
          <w:lang w:val="en-US" w:eastAsia="zh-CN"/>
        </w:rPr>
        <w:t>四是</w:t>
      </w:r>
      <w:r>
        <w:rPr>
          <w:rFonts w:hint="eastAsia" w:ascii="CESI仿宋-GB2312" w:hAnsi="CESI仿宋-GB2312" w:eastAsia="CESI仿宋-GB2312" w:cs="CESI仿宋-GB2312"/>
          <w:b/>
          <w:bCs/>
          <w:kern w:val="0"/>
          <w:sz w:val="32"/>
          <w:szCs w:val="32"/>
          <w:lang w:val="en-US" w:eastAsia="zh-CN"/>
        </w:rPr>
        <w:t>高度重视意识形态工作。</w:t>
      </w:r>
      <w:r>
        <w:rPr>
          <w:rFonts w:hint="eastAsia" w:ascii="仿宋_GB2312" w:hAnsi="仿宋_GB2312" w:eastAsia="仿宋_GB2312" w:cs="仿宋_GB2312"/>
          <w:sz w:val="32"/>
          <w:szCs w:val="32"/>
          <w:lang w:val="zh-CN" w:eastAsia="zh-CN"/>
        </w:rPr>
        <w:t>党组今年专题分析研判意识形态</w:t>
      </w:r>
      <w:r>
        <w:rPr>
          <w:rFonts w:hint="eastAsia" w:ascii="仿宋_GB2312" w:hAnsi="仿宋_GB2312" w:eastAsia="仿宋_GB2312" w:cs="仿宋_GB2312"/>
          <w:sz w:val="32"/>
          <w:szCs w:val="32"/>
          <w:lang w:val="en-US" w:eastAsia="zh-CN"/>
        </w:rPr>
        <w:t>2次。党员干部坚持每日“学习强国”30分以上，积极完成“干部网络学院”事业单位人员培训规定学时。截至目前，</w:t>
      </w:r>
      <w:r>
        <w:rPr>
          <w:rFonts w:hint="eastAsia" w:ascii="仿宋_GB2312" w:hAnsi="仿宋_GB2312" w:eastAsia="仿宋_GB2312" w:cs="仿宋_GB2312"/>
          <w:sz w:val="32"/>
          <w:szCs w:val="32"/>
          <w:lang w:val="en" w:eastAsia="zh-CN"/>
        </w:rPr>
        <w:t>继续保持</w:t>
      </w:r>
      <w:r>
        <w:rPr>
          <w:rFonts w:hint="eastAsia" w:ascii="仿宋_GB2312" w:hAnsi="仿宋_GB2312" w:eastAsia="仿宋_GB2312" w:cs="仿宋_GB2312"/>
          <w:sz w:val="32"/>
          <w:szCs w:val="32"/>
          <w:lang w:val="en-US" w:eastAsia="zh-CN"/>
        </w:rPr>
        <w:t>意识形态领域零事故。</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val="en" w:eastAsia="zh-CN"/>
        </w:rPr>
        <w:t>）</w:t>
      </w:r>
      <w:r>
        <w:rPr>
          <w:rFonts w:hint="eastAsia" w:ascii="楷体" w:hAnsi="楷体" w:eastAsia="楷体" w:cs="楷体"/>
          <w:b w:val="0"/>
          <w:bCs w:val="0"/>
          <w:sz w:val="32"/>
          <w:szCs w:val="32"/>
          <w:lang w:val="en-US" w:eastAsia="zh-CN"/>
        </w:rPr>
        <w:t>狠抓阵地建设，搭建创新型平台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b w:val="0"/>
          <w:bCs w:val="0"/>
          <w:kern w:val="2"/>
          <w:sz w:val="32"/>
          <w:szCs w:val="32"/>
          <w:lang w:val="en-US" w:eastAsia="zh-CN" w:bidi="ar-SA"/>
        </w:rPr>
      </w:pPr>
      <w:r>
        <w:rPr>
          <w:rFonts w:hint="eastAsia" w:ascii="CESI仿宋-GB2312" w:hAnsi="CESI仿宋-GB2312" w:eastAsia="CESI仿宋-GB2312" w:cs="CESI仿宋-GB2312"/>
          <w:b/>
          <w:bCs/>
          <w:sz w:val="32"/>
          <w:szCs w:val="32"/>
          <w:lang w:val="en-US" w:eastAsia="zh-CN"/>
        </w:rPr>
        <w:t>一是省市联动一体推动信息化建设。</w:t>
      </w:r>
      <w:r>
        <w:rPr>
          <w:rFonts w:hint="eastAsia" w:ascii="CESI仿宋-GB2312" w:hAnsi="CESI仿宋-GB2312" w:eastAsia="CESI仿宋-GB2312" w:cs="CESI仿宋-GB2312"/>
          <w:b w:val="0"/>
          <w:bCs w:val="0"/>
          <w:sz w:val="32"/>
          <w:szCs w:val="32"/>
          <w:lang w:val="en-US" w:eastAsia="zh-CN"/>
        </w:rPr>
        <w:t>在全省率先编制完成《益阳市信息化平台“六统一”实施方案》和责任清单。完成全省统一的市场主体注册系统与交易平台、核心业务系统与全省CA与电子签章资源共享系统的对接和益阳服务平台、行政监督平台、啄木鸟预警系统、数据微中台、国有“三资”平台的承接部署等工作</w:t>
      </w:r>
      <w:r>
        <w:rPr>
          <w:rFonts w:hint="eastAsia" w:ascii="CESI仿宋-GB2312" w:hAnsi="CESI仿宋-GB2312" w:eastAsia="CESI仿宋-GB2312" w:cs="CESI仿宋-GB2312"/>
          <w:sz w:val="32"/>
          <w:szCs w:val="32"/>
          <w:lang w:val="en-US" w:eastAsia="zh-CN"/>
        </w:rPr>
        <w:t>。7月17日全省公共资源交易信息化平台“六统一”工作现场推进会在益阳召开并作经验分享。不见面询标系统，开发智能辅助评标系统和移动APP上线运行。</w:t>
      </w:r>
      <w:r>
        <w:rPr>
          <w:rFonts w:hint="eastAsia" w:ascii="CESI仿宋-GB2312" w:hAnsi="CESI仿宋-GB2312" w:eastAsia="CESI仿宋-GB2312" w:cs="CESI仿宋-GB2312"/>
          <w:b/>
          <w:bCs/>
          <w:sz w:val="32"/>
          <w:szCs w:val="32"/>
          <w:lang w:val="en-US" w:eastAsia="zh-CN"/>
        </w:rPr>
        <w:t>二是持续助推减负降费。</w:t>
      </w:r>
      <w:r>
        <w:rPr>
          <w:rFonts w:hint="eastAsia" w:ascii="CESI仿宋-GB2312" w:hAnsi="CESI仿宋-GB2312" w:eastAsia="CESI仿宋-GB2312" w:cs="CESI仿宋-GB2312"/>
          <w:sz w:val="32"/>
          <w:szCs w:val="32"/>
          <w:lang w:val="en-US" w:eastAsia="zh-CN"/>
        </w:rPr>
        <w:t>以“营商环境提升年”行动开展为抓手，全力打造公共资源交易领域“一件事一次办”品牌。实现中标通知书网上下载、</w:t>
      </w:r>
      <w:r>
        <w:rPr>
          <w:rFonts w:hint="eastAsia" w:ascii="CESI仿宋-GB2312" w:hAnsi="CESI仿宋-GB2312" w:eastAsia="CESI仿宋-GB2312" w:cs="CESI仿宋-GB2312"/>
          <w:b w:val="0"/>
          <w:i w:val="0"/>
          <w:caps w:val="0"/>
          <w:color w:val="000000"/>
          <w:spacing w:val="0"/>
          <w:sz w:val="32"/>
          <w:szCs w:val="32"/>
          <w:u w:val="none"/>
          <w:lang w:eastAsia="zh-CN"/>
        </w:rPr>
        <w:t>在线开具电子保函和电子发票；</w:t>
      </w:r>
      <w:r>
        <w:rPr>
          <w:rFonts w:hint="eastAsia" w:ascii="CESI仿宋-GB2312" w:hAnsi="CESI仿宋-GB2312" w:eastAsia="CESI仿宋-GB2312" w:cs="CESI仿宋-GB2312"/>
          <w:i w:val="0"/>
          <w:caps w:val="0"/>
          <w:color w:val="000000"/>
          <w:spacing w:val="0"/>
          <w:sz w:val="32"/>
          <w:szCs w:val="32"/>
          <w:shd w:val="clear" w:color="auto" w:fill="FFFFFF"/>
        </w:rPr>
        <w:t>推进非税收缴电子化，</w:t>
      </w:r>
      <w:r>
        <w:rPr>
          <w:rFonts w:hint="eastAsia" w:ascii="CESI仿宋-GB2312" w:hAnsi="CESI仿宋-GB2312" w:eastAsia="CESI仿宋-GB2312" w:cs="CESI仿宋-GB2312"/>
          <w:b w:val="0"/>
          <w:i w:val="0"/>
          <w:caps w:val="0"/>
          <w:color w:val="000000"/>
          <w:spacing w:val="0"/>
          <w:sz w:val="32"/>
          <w:szCs w:val="32"/>
          <w:u w:val="none"/>
          <w:lang w:val="en-US" w:eastAsia="zh-CN"/>
        </w:rPr>
        <w:t>实现</w:t>
      </w:r>
      <w:r>
        <w:rPr>
          <w:rFonts w:hint="eastAsia" w:ascii="CESI仿宋-GB2312" w:hAnsi="CESI仿宋-GB2312" w:eastAsia="CESI仿宋-GB2312" w:cs="CESI仿宋-GB2312"/>
          <w:i w:val="0"/>
          <w:caps w:val="0"/>
          <w:color w:val="000000"/>
          <w:spacing w:val="0"/>
          <w:sz w:val="32"/>
          <w:szCs w:val="32"/>
          <w:shd w:val="clear" w:color="auto" w:fill="FFFFFF"/>
        </w:rPr>
        <w:t>交易服务费线上缴纳，实时推送电子非税收入一般缴款书</w:t>
      </w:r>
      <w:r>
        <w:rPr>
          <w:rFonts w:hint="eastAsia" w:ascii="CESI仿宋-GB2312" w:hAnsi="CESI仿宋-GB2312" w:eastAsia="CESI仿宋-GB2312" w:cs="CESI仿宋-GB2312"/>
          <w:sz w:val="32"/>
          <w:szCs w:val="32"/>
          <w:lang w:val="en" w:eastAsia="zh-CN"/>
        </w:rPr>
        <w:t>功能；上线“中标贷”交易服务平台，</w:t>
      </w:r>
      <w:r>
        <w:rPr>
          <w:rFonts w:hint="eastAsia" w:ascii="CESI仿宋-GB2312" w:hAnsi="CESI仿宋-GB2312" w:eastAsia="CESI仿宋-GB2312" w:cs="CESI仿宋-GB2312"/>
          <w:i w:val="0"/>
          <w:caps w:val="0"/>
          <w:color w:val="000000"/>
          <w:spacing w:val="0"/>
          <w:sz w:val="32"/>
          <w:szCs w:val="32"/>
          <w:shd w:val="clear" w:color="auto" w:fill="FFFFFF"/>
          <w:lang w:eastAsia="zh-CN"/>
        </w:rPr>
        <w:t>有效</w:t>
      </w:r>
      <w:r>
        <w:rPr>
          <w:rFonts w:hint="eastAsia" w:ascii="CESI仿宋-GB2312" w:hAnsi="CESI仿宋-GB2312" w:eastAsia="CESI仿宋-GB2312" w:cs="CESI仿宋-GB2312"/>
          <w:i w:val="0"/>
          <w:caps w:val="0"/>
          <w:color w:val="000000"/>
          <w:spacing w:val="0"/>
          <w:sz w:val="32"/>
          <w:szCs w:val="32"/>
          <w:shd w:val="clear" w:color="auto" w:fill="FFFFFF"/>
        </w:rPr>
        <w:t>解决企业“贷款难”银行“不敢贷”问</w:t>
      </w:r>
      <w:r>
        <w:rPr>
          <w:rFonts w:hint="eastAsia" w:ascii="CESI仿宋-GB2312" w:hAnsi="CESI仿宋-GB2312" w:eastAsia="CESI仿宋-GB2312" w:cs="CESI仿宋-GB2312"/>
          <w:i w:val="0"/>
          <w:caps w:val="0"/>
          <w:color w:val="000000"/>
          <w:spacing w:val="0"/>
          <w:sz w:val="32"/>
          <w:szCs w:val="32"/>
          <w:shd w:val="clear" w:color="auto" w:fill="FFFFFF"/>
          <w:lang w:eastAsia="zh-CN"/>
        </w:rPr>
        <w:t>题。</w:t>
      </w:r>
      <w:r>
        <w:rPr>
          <w:rFonts w:hint="eastAsia" w:ascii="CESI仿宋-GB2312" w:hAnsi="CESI仿宋-GB2312" w:eastAsia="CESI仿宋-GB2312" w:cs="CESI仿宋-GB2312"/>
          <w:i w:val="0"/>
          <w:caps w:val="0"/>
          <w:color w:val="000000"/>
          <w:spacing w:val="0"/>
          <w:sz w:val="32"/>
          <w:szCs w:val="32"/>
          <w:shd w:val="clear" w:color="auto" w:fill="FFFFFF"/>
          <w:lang w:val="en-US" w:eastAsia="zh-CN"/>
        </w:rPr>
        <w:t>2023年</w:t>
      </w:r>
      <w:r>
        <w:rPr>
          <w:rFonts w:hint="eastAsia" w:ascii="CESI仿宋-GB2312" w:hAnsi="CESI仿宋-GB2312" w:eastAsia="CESI仿宋-GB2312" w:cs="CESI仿宋-GB2312"/>
          <w:i w:val="0"/>
          <w:caps w:val="0"/>
          <w:color w:val="000000"/>
          <w:spacing w:val="0"/>
          <w:sz w:val="32"/>
          <w:szCs w:val="32"/>
          <w:shd w:val="clear" w:color="auto" w:fill="FFFFFF"/>
          <w:lang w:eastAsia="zh-CN"/>
        </w:rPr>
        <w:t>累计生成电子保函6761</w:t>
      </w:r>
      <w:r>
        <w:rPr>
          <w:rFonts w:hint="eastAsia" w:ascii="CESI仿宋-GB2312" w:hAnsi="CESI仿宋-GB2312" w:eastAsia="CESI仿宋-GB2312" w:cs="CESI仿宋-GB2312"/>
          <w:i w:val="0"/>
          <w:caps w:val="0"/>
          <w:color w:val="000000"/>
          <w:spacing w:val="0"/>
          <w:sz w:val="32"/>
          <w:szCs w:val="32"/>
          <w:shd w:val="clear" w:color="auto" w:fill="FFFFFF"/>
          <w:lang w:val="en" w:eastAsia="zh-CN"/>
        </w:rPr>
        <w:t>笔，为企业释放流动资金近</w:t>
      </w:r>
      <w:r>
        <w:rPr>
          <w:rFonts w:hint="eastAsia" w:ascii="CESI仿宋-GB2312" w:hAnsi="CESI仿宋-GB2312" w:eastAsia="CESI仿宋-GB2312" w:cs="CESI仿宋-GB2312"/>
          <w:i w:val="0"/>
          <w:caps w:val="0"/>
          <w:color w:val="000000"/>
          <w:spacing w:val="0"/>
          <w:sz w:val="32"/>
          <w:szCs w:val="32"/>
          <w:shd w:val="clear" w:color="auto" w:fill="FFFFFF"/>
          <w:lang w:val="en-US" w:eastAsia="zh-CN"/>
        </w:rPr>
        <w:t>10</w:t>
      </w:r>
      <w:r>
        <w:rPr>
          <w:rFonts w:hint="eastAsia" w:ascii="CESI仿宋-GB2312" w:hAnsi="CESI仿宋-GB2312" w:eastAsia="CESI仿宋-GB2312" w:cs="CESI仿宋-GB2312"/>
          <w:i w:val="0"/>
          <w:caps w:val="0"/>
          <w:color w:val="000000"/>
          <w:spacing w:val="0"/>
          <w:sz w:val="32"/>
          <w:szCs w:val="32"/>
          <w:shd w:val="clear" w:color="auto" w:fill="FFFFFF"/>
          <w:lang w:val="en" w:eastAsia="zh-CN"/>
        </w:rPr>
        <w:t>亿元。</w:t>
      </w:r>
      <w:r>
        <w:rPr>
          <w:rFonts w:hint="eastAsia" w:ascii="CESI仿宋-GB2312" w:hAnsi="CESI仿宋-GB2312" w:eastAsia="CESI仿宋-GB2312" w:cs="CESI仿宋-GB2312"/>
          <w:sz w:val="32"/>
          <w:szCs w:val="32"/>
          <w:lang w:val="en" w:eastAsia="zh-CN"/>
        </w:rPr>
        <w:t>清退未及时签定合同造成沉淀的保证金</w:t>
      </w:r>
      <w:r>
        <w:rPr>
          <w:rFonts w:hint="eastAsia" w:ascii="CESI仿宋-GB2312" w:hAnsi="CESI仿宋-GB2312" w:eastAsia="CESI仿宋-GB2312" w:cs="CESI仿宋-GB2312"/>
          <w:sz w:val="32"/>
          <w:szCs w:val="32"/>
          <w:lang w:val="en-US" w:eastAsia="zh-CN"/>
        </w:rPr>
        <w:t>363.8</w:t>
      </w:r>
      <w:r>
        <w:rPr>
          <w:rFonts w:hint="eastAsia" w:ascii="CESI仿宋-GB2312" w:hAnsi="CESI仿宋-GB2312" w:eastAsia="CESI仿宋-GB2312" w:cs="CESI仿宋-GB2312"/>
          <w:sz w:val="32"/>
          <w:szCs w:val="32"/>
          <w:lang w:val="en" w:eastAsia="zh-CN"/>
        </w:rPr>
        <w:t>万元。</w:t>
      </w:r>
      <w:r>
        <w:rPr>
          <w:rFonts w:hint="eastAsia" w:ascii="CESI仿宋-GB2312" w:hAnsi="CESI仿宋-GB2312" w:eastAsia="CESI仿宋-GB2312" w:cs="CESI仿宋-GB2312"/>
          <w:b w:val="0"/>
          <w:i w:val="0"/>
          <w:caps w:val="0"/>
          <w:color w:val="000000"/>
          <w:spacing w:val="0"/>
          <w:sz w:val="32"/>
          <w:szCs w:val="32"/>
          <w:u w:val="none"/>
          <w:lang w:val="en"/>
        </w:rPr>
        <w:t>对</w:t>
      </w:r>
      <w:r>
        <w:rPr>
          <w:rFonts w:hint="eastAsia" w:ascii="CESI仿宋-GB2312" w:hAnsi="CESI仿宋-GB2312" w:eastAsia="CESI仿宋-GB2312" w:cs="CESI仿宋-GB2312"/>
          <w:b w:val="0"/>
          <w:i w:val="0"/>
          <w:caps w:val="0"/>
          <w:color w:val="000000"/>
          <w:spacing w:val="0"/>
          <w:sz w:val="32"/>
          <w:szCs w:val="32"/>
          <w:u w:val="none"/>
          <w:lang w:val="en" w:eastAsia="zh-CN"/>
        </w:rPr>
        <w:t>小额</w:t>
      </w:r>
      <w:r>
        <w:rPr>
          <w:rFonts w:hint="eastAsia" w:ascii="CESI仿宋-GB2312" w:hAnsi="CESI仿宋-GB2312" w:eastAsia="CESI仿宋-GB2312" w:cs="CESI仿宋-GB2312"/>
          <w:b w:val="0"/>
          <w:i w:val="0"/>
          <w:caps w:val="0"/>
          <w:color w:val="000000"/>
          <w:spacing w:val="0"/>
          <w:sz w:val="32"/>
          <w:szCs w:val="32"/>
          <w:u w:val="none"/>
        </w:rPr>
        <w:t>产权</w:t>
      </w:r>
      <w:r>
        <w:rPr>
          <w:rFonts w:hint="eastAsia" w:ascii="CESI仿宋-GB2312" w:hAnsi="CESI仿宋-GB2312" w:eastAsia="CESI仿宋-GB2312" w:cs="CESI仿宋-GB2312"/>
          <w:i w:val="0"/>
          <w:caps w:val="0"/>
          <w:color w:val="000000"/>
          <w:spacing w:val="0"/>
          <w:sz w:val="32"/>
          <w:szCs w:val="32"/>
          <w:shd w:val="clear" w:color="auto" w:fill="FFFFFF"/>
        </w:rPr>
        <w:t>交易</w:t>
      </w:r>
      <w:r>
        <w:rPr>
          <w:rFonts w:hint="eastAsia" w:ascii="CESI仿宋-GB2312" w:hAnsi="CESI仿宋-GB2312" w:eastAsia="CESI仿宋-GB2312" w:cs="CESI仿宋-GB2312"/>
          <w:b w:val="0"/>
          <w:i w:val="0"/>
          <w:caps w:val="0"/>
          <w:color w:val="000000"/>
          <w:spacing w:val="0"/>
          <w:sz w:val="32"/>
          <w:szCs w:val="32"/>
          <w:u w:val="none"/>
          <w:lang w:eastAsia="zh-CN"/>
        </w:rPr>
        <w:t>项目</w:t>
      </w:r>
      <w:r>
        <w:rPr>
          <w:rFonts w:hint="eastAsia" w:ascii="CESI仿宋-GB2312" w:hAnsi="CESI仿宋-GB2312" w:eastAsia="CESI仿宋-GB2312" w:cs="CESI仿宋-GB2312"/>
          <w:b w:val="0"/>
          <w:i w:val="0"/>
          <w:caps w:val="0"/>
          <w:color w:val="000000"/>
          <w:spacing w:val="0"/>
          <w:sz w:val="32"/>
          <w:szCs w:val="32"/>
          <w:u w:val="none"/>
        </w:rPr>
        <w:t>服务费</w:t>
      </w:r>
      <w:r>
        <w:rPr>
          <w:rFonts w:hint="eastAsia" w:ascii="CESI仿宋-GB2312" w:hAnsi="CESI仿宋-GB2312" w:eastAsia="CESI仿宋-GB2312" w:cs="CESI仿宋-GB2312"/>
          <w:b w:val="0"/>
          <w:i w:val="0"/>
          <w:caps w:val="0"/>
          <w:color w:val="000000"/>
          <w:spacing w:val="0"/>
          <w:sz w:val="32"/>
          <w:szCs w:val="32"/>
          <w:u w:val="none"/>
          <w:lang w:eastAsia="zh-CN"/>
        </w:rPr>
        <w:t>实施新标准</w:t>
      </w:r>
      <w:r>
        <w:rPr>
          <w:rFonts w:hint="eastAsia" w:ascii="CESI仿宋-GB2312" w:hAnsi="CESI仿宋-GB2312" w:eastAsia="CESI仿宋-GB2312" w:cs="CESI仿宋-GB2312"/>
          <w:b w:val="0"/>
          <w:i w:val="0"/>
          <w:caps w:val="0"/>
          <w:color w:val="000000"/>
          <w:spacing w:val="0"/>
          <w:sz w:val="32"/>
          <w:szCs w:val="32"/>
          <w:u w:val="none"/>
        </w:rPr>
        <w:t>，</w:t>
      </w:r>
      <w:r>
        <w:rPr>
          <w:rFonts w:hint="eastAsia" w:ascii="CESI仿宋-GB2312" w:hAnsi="CESI仿宋-GB2312" w:eastAsia="CESI仿宋-GB2312" w:cs="CESI仿宋-GB2312"/>
          <w:b w:val="0"/>
          <w:i w:val="0"/>
          <w:caps w:val="0"/>
          <w:color w:val="000000"/>
          <w:spacing w:val="0"/>
          <w:sz w:val="32"/>
          <w:szCs w:val="32"/>
          <w:shd w:val="clear" w:color="auto" w:fill="auto"/>
        </w:rPr>
        <w:t>将电子保函保费费率下调</w:t>
      </w:r>
      <w:r>
        <w:rPr>
          <w:rFonts w:hint="eastAsia" w:ascii="CESI仿宋-GB2312" w:hAnsi="CESI仿宋-GB2312" w:eastAsia="CESI仿宋-GB2312" w:cs="CESI仿宋-GB2312"/>
          <w:b w:val="0"/>
          <w:i w:val="0"/>
          <w:caps w:val="0"/>
          <w:color w:val="000000"/>
          <w:spacing w:val="0"/>
          <w:sz w:val="32"/>
          <w:szCs w:val="32"/>
          <w:shd w:val="clear" w:color="auto" w:fill="auto"/>
          <w:lang w:val="en-US" w:eastAsia="zh-CN"/>
        </w:rPr>
        <w:t>1</w:t>
      </w:r>
      <w:r>
        <w:rPr>
          <w:rFonts w:hint="eastAsia" w:ascii="CESI仿宋-GB2312" w:hAnsi="CESI仿宋-GB2312" w:eastAsia="CESI仿宋-GB2312" w:cs="CESI仿宋-GB2312"/>
          <w:b w:val="0"/>
          <w:i w:val="0"/>
          <w:caps w:val="0"/>
          <w:color w:val="000000"/>
          <w:spacing w:val="0"/>
          <w:sz w:val="32"/>
          <w:szCs w:val="32"/>
          <w:shd w:val="clear" w:color="auto" w:fill="auto"/>
        </w:rPr>
        <w:t>‰</w:t>
      </w:r>
      <w:r>
        <w:rPr>
          <w:rFonts w:hint="eastAsia" w:ascii="CESI仿宋-GB2312" w:hAnsi="CESI仿宋-GB2312" w:eastAsia="CESI仿宋-GB2312" w:cs="CESI仿宋-GB2312"/>
          <w:b w:val="0"/>
          <w:i w:val="0"/>
          <w:caps w:val="0"/>
          <w:color w:val="000000"/>
          <w:spacing w:val="0"/>
          <w:sz w:val="32"/>
          <w:szCs w:val="32"/>
          <w:shd w:val="clear" w:color="auto" w:fill="auto"/>
          <w:lang w:eastAsia="zh-CN"/>
        </w:rPr>
        <w:t>，为市场主体直接减费</w:t>
      </w:r>
      <w:r>
        <w:rPr>
          <w:rFonts w:hint="eastAsia" w:ascii="CESI仿宋-GB2312" w:hAnsi="CESI仿宋-GB2312" w:eastAsia="CESI仿宋-GB2312" w:cs="CESI仿宋-GB2312"/>
          <w:b w:val="0"/>
          <w:i w:val="0"/>
          <w:caps w:val="0"/>
          <w:color w:val="000000"/>
          <w:spacing w:val="0"/>
          <w:sz w:val="32"/>
          <w:szCs w:val="32"/>
          <w:shd w:val="clear" w:color="auto" w:fill="auto"/>
          <w:lang w:val="en-US" w:eastAsia="zh-CN"/>
        </w:rPr>
        <w:t>110万元</w:t>
      </w:r>
      <w:r>
        <w:rPr>
          <w:rFonts w:hint="eastAsia" w:ascii="CESI仿宋-GB2312" w:hAnsi="CESI仿宋-GB2312" w:eastAsia="CESI仿宋-GB2312" w:cs="CESI仿宋-GB2312"/>
          <w:color w:val="000000"/>
          <w:sz w:val="32"/>
          <w:szCs w:val="32"/>
          <w:lang w:val="en-US" w:eastAsia="zh-CN"/>
        </w:rPr>
        <w:t>。</w:t>
      </w:r>
      <w:r>
        <w:rPr>
          <w:rFonts w:hint="eastAsia" w:ascii="CESI仿宋-GB2312" w:hAnsi="CESI仿宋-GB2312" w:eastAsia="CESI仿宋-GB2312" w:cs="CESI仿宋-GB2312"/>
          <w:b w:val="0"/>
          <w:i w:val="0"/>
          <w:caps w:val="0"/>
          <w:color w:val="000000"/>
          <w:spacing w:val="0"/>
          <w:sz w:val="32"/>
          <w:szCs w:val="32"/>
          <w:u w:val="none"/>
          <w:lang w:val="en" w:eastAsia="zh-CN"/>
        </w:rPr>
        <w:t>评标室</w:t>
      </w:r>
      <w:r>
        <w:rPr>
          <w:rFonts w:hint="eastAsia" w:ascii="CESI仿宋-GB2312" w:hAnsi="CESI仿宋-GB2312" w:eastAsia="CESI仿宋-GB2312" w:cs="CESI仿宋-GB2312"/>
          <w:sz w:val="32"/>
          <w:szCs w:val="32"/>
          <w:lang w:val="en" w:eastAsia="zh-CN"/>
        </w:rPr>
        <w:t>全部布置多因子评标设备并投入使用，</w:t>
      </w:r>
      <w:r>
        <w:rPr>
          <w:rFonts w:hint="eastAsia" w:ascii="CESI仿宋-GB2312" w:hAnsi="CESI仿宋-GB2312" w:eastAsia="CESI仿宋-GB2312" w:cs="CESI仿宋-GB2312"/>
          <w:sz w:val="32"/>
          <w:szCs w:val="32"/>
          <w:lang w:eastAsia="zh-CN"/>
        </w:rPr>
        <w:t>提升</w:t>
      </w:r>
      <w:r>
        <w:rPr>
          <w:rFonts w:hint="eastAsia" w:ascii="CESI仿宋-GB2312" w:hAnsi="CESI仿宋-GB2312" w:eastAsia="CESI仿宋-GB2312" w:cs="CESI仿宋-GB2312"/>
          <w:sz w:val="32"/>
          <w:szCs w:val="32"/>
        </w:rPr>
        <w:t>评标</w:t>
      </w:r>
      <w:r>
        <w:rPr>
          <w:rFonts w:hint="eastAsia" w:ascii="CESI仿宋-GB2312" w:hAnsi="CESI仿宋-GB2312" w:eastAsia="CESI仿宋-GB2312" w:cs="CESI仿宋-GB2312"/>
          <w:sz w:val="32"/>
          <w:szCs w:val="32"/>
          <w:lang w:eastAsia="zh-CN"/>
        </w:rPr>
        <w:t>效率，</w:t>
      </w:r>
      <w:r>
        <w:rPr>
          <w:rFonts w:hint="eastAsia" w:ascii="CESI仿宋-GB2312" w:hAnsi="CESI仿宋-GB2312" w:eastAsia="CESI仿宋-GB2312" w:cs="CESI仿宋-GB2312"/>
          <w:sz w:val="32"/>
          <w:szCs w:val="32"/>
          <w:lang w:val="en" w:eastAsia="zh-CN"/>
        </w:rPr>
        <w:t>每年为评标专家节约 CA锁购置及续费费用近20万元。</w:t>
      </w:r>
      <w:r>
        <w:rPr>
          <w:rFonts w:hint="eastAsia" w:ascii="CESI仿宋-GB2312" w:hAnsi="CESI仿宋-GB2312" w:eastAsia="CESI仿宋-GB2312" w:cs="CESI仿宋-GB2312"/>
          <w:b/>
          <w:bCs/>
          <w:sz w:val="32"/>
          <w:szCs w:val="32"/>
          <w:lang w:val="en" w:eastAsia="zh-CN"/>
        </w:rPr>
        <w:t>三是积极</w:t>
      </w:r>
      <w:r>
        <w:rPr>
          <w:rFonts w:hint="eastAsia" w:ascii="CESI仿宋-GB2312" w:hAnsi="CESI仿宋-GB2312" w:eastAsia="CESI仿宋-GB2312" w:cs="CESI仿宋-GB2312"/>
          <w:b/>
          <w:bCs/>
          <w:sz w:val="32"/>
          <w:szCs w:val="32"/>
          <w:lang w:val="en-US" w:eastAsia="zh-CN"/>
        </w:rPr>
        <w:t>探索跨省异地评标。</w:t>
      </w:r>
      <w:r>
        <w:rPr>
          <w:rFonts w:hint="eastAsia" w:ascii="CESI仿宋-GB2312" w:hAnsi="CESI仿宋-GB2312" w:eastAsia="CESI仿宋-GB2312" w:cs="CESI仿宋-GB2312"/>
          <w:b w:val="0"/>
          <w:bCs w:val="0"/>
          <w:sz w:val="32"/>
          <w:szCs w:val="32"/>
          <w:lang w:val="en-US" w:eastAsia="zh-CN"/>
        </w:rPr>
        <w:t>实现远程</w:t>
      </w:r>
      <w:r>
        <w:rPr>
          <w:rFonts w:hint="eastAsia" w:ascii="CESI仿宋-GB2312" w:hAnsi="CESI仿宋-GB2312" w:eastAsia="CESI仿宋-GB2312" w:cs="CESI仿宋-GB2312"/>
          <w:sz w:val="32"/>
          <w:szCs w:val="32"/>
          <w:lang w:val="en-US" w:eastAsia="zh-CN"/>
        </w:rPr>
        <w:t>异地评标常态化，年内完成远程异地评标交易项目137个，其中主场67个，副场70个。积极推进工程建设项目与省外跨区域远程异地评标，政府采购项目省内开展远程异地评标，分别与湖北省沙洋县、河南省宝丰县中心完成首个政府采购、建设工程项目远程异地评标工作，较好地缓解了本地评标专家资源不足的问题，有力地破解了“老面孔”、“关系户”等招标过程中的难题，有效规避了围标串标行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 w:eastAsia="zh-CN"/>
        </w:rPr>
        <w:t>（</w:t>
      </w:r>
      <w:r>
        <w:rPr>
          <w:rFonts w:hint="eastAsia" w:ascii="楷体" w:hAnsi="楷体" w:eastAsia="楷体" w:cs="楷体"/>
          <w:b w:val="0"/>
          <w:bCs w:val="0"/>
          <w:sz w:val="32"/>
          <w:szCs w:val="32"/>
          <w:lang w:val="en-US" w:eastAsia="zh-CN"/>
        </w:rPr>
        <w:t>三</w:t>
      </w:r>
      <w:r>
        <w:rPr>
          <w:rFonts w:hint="eastAsia" w:ascii="楷体" w:hAnsi="楷体" w:eastAsia="楷体" w:cs="楷体"/>
          <w:b w:val="0"/>
          <w:bCs w:val="0"/>
          <w:sz w:val="32"/>
          <w:szCs w:val="32"/>
          <w:lang w:val="en" w:eastAsia="zh-CN"/>
        </w:rPr>
        <w:t>）</w:t>
      </w:r>
      <w:r>
        <w:rPr>
          <w:rFonts w:hint="eastAsia" w:ascii="楷体" w:hAnsi="楷体" w:eastAsia="楷体" w:cs="楷体"/>
          <w:b w:val="0"/>
          <w:bCs w:val="0"/>
          <w:sz w:val="32"/>
          <w:szCs w:val="32"/>
          <w:lang w:val="en-US" w:eastAsia="zh-CN"/>
        </w:rPr>
        <w:t>优化服务水平，搭建高效型平台</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一是高效制定并宣贯交易标准。</w:t>
      </w:r>
      <w:r>
        <w:rPr>
          <w:rFonts w:hint="eastAsia" w:ascii="CESI仿宋-GB2312" w:hAnsi="CESI仿宋-GB2312" w:eastAsia="CESI仿宋-GB2312" w:cs="CESI仿宋-GB2312"/>
          <w:sz w:val="32"/>
          <w:szCs w:val="32"/>
          <w:lang w:val="en-US" w:eastAsia="zh-CN"/>
        </w:rPr>
        <w:t>中心牵头编制的《湖南省公共资源交易服务能力评价》地方标准也已通过省市监局审</w:t>
      </w:r>
      <w:r>
        <w:rPr>
          <w:rFonts w:hint="eastAsia" w:ascii="CESI仿宋-GB2312" w:hAnsi="CESI仿宋-GB2312" w:eastAsia="CESI仿宋-GB2312" w:cs="CESI仿宋-GB2312"/>
          <w:sz w:val="32"/>
          <w:szCs w:val="32"/>
          <w:lang w:val="en" w:eastAsia="zh-CN"/>
        </w:rPr>
        <w:t>查并发布，</w:t>
      </w:r>
      <w:r>
        <w:rPr>
          <w:rFonts w:hint="eastAsia" w:ascii="CESI仿宋-GB2312" w:hAnsi="CESI仿宋-GB2312" w:eastAsia="CESI仿宋-GB2312" w:cs="CESI仿宋-GB2312"/>
          <w:sz w:val="32"/>
          <w:szCs w:val="32"/>
          <w:lang w:val="en-US" w:eastAsia="zh-CN"/>
        </w:rPr>
        <w:t>全省13项公共资源交易地方标准执行并宣贯。</w:t>
      </w:r>
      <w:r>
        <w:rPr>
          <w:rFonts w:hint="eastAsia" w:ascii="CESI仿宋-GB2312" w:hAnsi="CESI仿宋-GB2312" w:eastAsia="CESI仿宋-GB2312" w:cs="CESI仿宋-GB2312"/>
          <w:b/>
          <w:bCs/>
          <w:kern w:val="2"/>
          <w:sz w:val="32"/>
          <w:szCs w:val="32"/>
          <w:lang w:val="en-US" w:eastAsia="zh-CN" w:bidi="ar-SA"/>
        </w:rPr>
        <w:t>二是促进项目进场交易。</w:t>
      </w:r>
      <w:r>
        <w:rPr>
          <w:rFonts w:hint="eastAsia" w:ascii="CESI仿宋-GB2312" w:hAnsi="CESI仿宋-GB2312" w:eastAsia="CESI仿宋-GB2312" w:cs="CESI仿宋-GB2312"/>
          <w:b w:val="0"/>
          <w:i w:val="0"/>
          <w:caps w:val="0"/>
          <w:color w:val="000000"/>
          <w:spacing w:val="0"/>
          <w:sz w:val="32"/>
          <w:szCs w:val="32"/>
          <w:u w:val="none"/>
          <w:lang w:val="en-US" w:eastAsia="zh-CN"/>
        </w:rPr>
        <w:t>有序引导并</w:t>
      </w:r>
      <w:r>
        <w:rPr>
          <w:rFonts w:hint="eastAsia" w:ascii="CESI仿宋-GB2312" w:hAnsi="CESI仿宋-GB2312" w:eastAsia="CESI仿宋-GB2312" w:cs="CESI仿宋-GB2312"/>
          <w:b w:val="0"/>
          <w:i w:val="0"/>
          <w:caps w:val="0"/>
          <w:color w:val="000000"/>
          <w:spacing w:val="0"/>
          <w:sz w:val="32"/>
          <w:szCs w:val="32"/>
          <w:u w:val="none"/>
          <w:lang w:eastAsia="zh-CN"/>
        </w:rPr>
        <w:t>实现排污权进场交易常态化，促进</w:t>
      </w:r>
      <w:r>
        <w:rPr>
          <w:rFonts w:hint="eastAsia" w:ascii="CESI仿宋-GB2312" w:hAnsi="CESI仿宋-GB2312" w:eastAsia="CESI仿宋-GB2312" w:cs="CESI仿宋-GB2312"/>
          <w:b w:val="0"/>
          <w:i w:val="0"/>
          <w:caps w:val="0"/>
          <w:color w:val="000000"/>
          <w:spacing w:val="0"/>
          <w:sz w:val="32"/>
          <w:szCs w:val="32"/>
          <w:u w:val="none"/>
          <w:lang w:val="en-US" w:eastAsia="zh-CN"/>
        </w:rPr>
        <w:t>社会类项目进场交易。我市第一个自愿进入公共资源交易平台实施招标采购的民营企业采购项目——湖南海荃游艇有限公司的游船配套锂电动力系统采购项目于6月6日顺利完成项目交易。</w:t>
      </w:r>
      <w:r>
        <w:rPr>
          <w:rFonts w:hint="eastAsia" w:ascii="CESI仿宋-GB2312" w:hAnsi="CESI仿宋-GB2312" w:eastAsia="CESI仿宋-GB2312" w:cs="CESI仿宋-GB2312"/>
          <w:b/>
          <w:bCs/>
          <w:kern w:val="2"/>
          <w:sz w:val="32"/>
          <w:szCs w:val="32"/>
          <w:lang w:val="en-US" w:eastAsia="zh-CN" w:bidi="ar-SA"/>
        </w:rPr>
        <w:t>三是规</w:t>
      </w:r>
      <w:r>
        <w:rPr>
          <w:rFonts w:hint="eastAsia" w:ascii="CESI仿宋-GB2312" w:hAnsi="CESI仿宋-GB2312" w:eastAsia="CESI仿宋-GB2312" w:cs="CESI仿宋-GB2312"/>
          <w:b/>
          <w:bCs/>
          <w:i w:val="0"/>
          <w:caps w:val="0"/>
          <w:color w:val="000000"/>
          <w:spacing w:val="0"/>
          <w:sz w:val="32"/>
          <w:szCs w:val="32"/>
          <w:u w:val="none"/>
          <w:lang w:val="en-US" w:eastAsia="zh-CN"/>
        </w:rPr>
        <w:t>范交易现场行为。</w:t>
      </w:r>
      <w:r>
        <w:rPr>
          <w:rFonts w:hint="eastAsia" w:ascii="CESI仿宋-GB2312" w:hAnsi="CESI仿宋-GB2312" w:eastAsia="CESI仿宋-GB2312" w:cs="CESI仿宋-GB2312"/>
          <w:b w:val="0"/>
          <w:i w:val="0"/>
          <w:caps w:val="0"/>
          <w:color w:val="000000"/>
          <w:spacing w:val="0"/>
          <w:kern w:val="2"/>
          <w:sz w:val="32"/>
          <w:szCs w:val="32"/>
          <w:u w:val="none"/>
          <w:lang w:val="en-US" w:eastAsia="zh-CN" w:bidi="ar-SA"/>
        </w:rPr>
        <w:t>按照有关文件要求，建立各岗位业务台账，详细记录、门禁岗、专家抽取区域、评标区等运行情况。</w:t>
      </w:r>
      <w:r>
        <w:rPr>
          <w:rFonts w:hint="eastAsia" w:ascii="CESI仿宋-GB2312" w:hAnsi="CESI仿宋-GB2312" w:eastAsia="CESI仿宋-GB2312" w:cs="CESI仿宋-GB2312"/>
          <w:b/>
          <w:bCs/>
          <w:kern w:val="2"/>
          <w:sz w:val="32"/>
          <w:szCs w:val="32"/>
          <w:lang w:val="en-US" w:eastAsia="zh-CN" w:bidi="ar-SA"/>
        </w:rPr>
        <w:t>四是开展业务培</w:t>
      </w:r>
      <w:r>
        <w:rPr>
          <w:rFonts w:hint="eastAsia" w:ascii="CESI仿宋-GB2312" w:hAnsi="CESI仿宋-GB2312" w:eastAsia="CESI仿宋-GB2312" w:cs="CESI仿宋-GB2312"/>
          <w:b/>
          <w:bCs/>
          <w:i w:val="0"/>
          <w:caps w:val="0"/>
          <w:color w:val="000000"/>
          <w:spacing w:val="0"/>
          <w:sz w:val="32"/>
          <w:szCs w:val="32"/>
          <w:u w:val="none"/>
          <w:lang w:val="en-US" w:eastAsia="zh-CN"/>
        </w:rPr>
        <w:t>训。</w:t>
      </w:r>
      <w:r>
        <w:rPr>
          <w:rFonts w:hint="eastAsia" w:ascii="CESI仿宋-GB2312" w:hAnsi="CESI仿宋-GB2312" w:eastAsia="CESI仿宋-GB2312" w:cs="CESI仿宋-GB2312"/>
          <w:sz w:val="32"/>
          <w:szCs w:val="32"/>
          <w:lang w:val="en-US" w:eastAsia="zh-CN"/>
        </w:rPr>
        <w:t>大力实施“能力素质提升年”行动，持续开展阳光交易讲堂，邀请专家、业务骨干开展业务培训，开展电子评标系统专家签名流程培训。组织评标评审专家线上学习200多人次，线下培训100多人次。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 w:eastAsia="zh-CN"/>
        </w:rPr>
        <w:t>（</w:t>
      </w:r>
      <w:r>
        <w:rPr>
          <w:rFonts w:hint="eastAsia" w:ascii="楷体" w:hAnsi="楷体" w:eastAsia="楷体" w:cs="楷体"/>
          <w:b w:val="0"/>
          <w:bCs w:val="0"/>
          <w:sz w:val="32"/>
          <w:szCs w:val="32"/>
          <w:lang w:val="en-US" w:eastAsia="zh-CN"/>
        </w:rPr>
        <w:t>四</w:t>
      </w:r>
      <w:r>
        <w:rPr>
          <w:rFonts w:hint="eastAsia" w:ascii="楷体" w:hAnsi="楷体" w:eastAsia="楷体" w:cs="楷体"/>
          <w:b w:val="0"/>
          <w:bCs w:val="0"/>
          <w:sz w:val="32"/>
          <w:szCs w:val="32"/>
          <w:lang w:val="en" w:eastAsia="zh-CN"/>
        </w:rPr>
        <w:t>）</w:t>
      </w:r>
      <w:r>
        <w:rPr>
          <w:rFonts w:hint="eastAsia" w:ascii="楷体" w:hAnsi="楷体" w:eastAsia="楷体" w:cs="楷体"/>
          <w:b w:val="0"/>
          <w:bCs w:val="0"/>
          <w:sz w:val="32"/>
          <w:szCs w:val="32"/>
          <w:lang w:val="en-US" w:eastAsia="zh-CN"/>
        </w:rPr>
        <w:t>推进廉政建设，搭建阳光型平台</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一是深入推动专项整治。</w:t>
      </w:r>
      <w:r>
        <w:rPr>
          <w:rFonts w:hint="eastAsia" w:ascii="CESI仿宋-GB2312" w:hAnsi="CESI仿宋-GB2312" w:eastAsia="CESI仿宋-GB2312" w:cs="CESI仿宋-GB2312"/>
          <w:sz w:val="32"/>
          <w:szCs w:val="32"/>
          <w:lang w:val="en-US" w:eastAsia="zh-CN"/>
        </w:rPr>
        <w:t>严格评标区域管理，及时记录并报告开评标过程中的异常行为，规范评标结果复核行为。所有建设工程项目实现“专家劳务费不见面支付”。配合行业监管部门累计完成</w:t>
      </w:r>
      <w:r>
        <w:rPr>
          <w:rFonts w:hint="eastAsia" w:ascii="CESI仿宋-GB2312" w:hAnsi="CESI仿宋-GB2312" w:eastAsia="CESI仿宋-GB2312" w:cs="CESI仿宋-GB2312"/>
          <w:sz w:val="32"/>
          <w:szCs w:val="32"/>
          <w:lang w:val="en" w:eastAsia="zh-CN"/>
        </w:rPr>
        <w:t>“评定分离”</w:t>
      </w:r>
      <w:r>
        <w:rPr>
          <w:rFonts w:hint="eastAsia" w:ascii="CESI仿宋-GB2312" w:hAnsi="CESI仿宋-GB2312" w:eastAsia="CESI仿宋-GB2312" w:cs="CESI仿宋-GB2312"/>
          <w:sz w:val="32"/>
          <w:szCs w:val="32"/>
          <w:lang w:val="en-US" w:eastAsia="zh-CN"/>
        </w:rPr>
        <w:t>项目62个。</w:t>
      </w:r>
      <w:r>
        <w:rPr>
          <w:rFonts w:hint="eastAsia" w:ascii="CESI仿宋-GB2312" w:hAnsi="CESI仿宋-GB2312" w:eastAsia="CESI仿宋-GB2312" w:cs="CESI仿宋-GB2312"/>
          <w:b/>
          <w:bCs/>
          <w:kern w:val="2"/>
          <w:sz w:val="32"/>
          <w:szCs w:val="32"/>
          <w:lang w:val="en-US" w:eastAsia="zh-CN" w:bidi="ar-SA"/>
        </w:rPr>
        <w:t>二是严惩场</w:t>
      </w:r>
      <w:r>
        <w:rPr>
          <w:rFonts w:hint="eastAsia" w:ascii="CESI仿宋-GB2312" w:hAnsi="CESI仿宋-GB2312" w:eastAsia="CESI仿宋-GB2312" w:cs="CESI仿宋-GB2312"/>
          <w:b/>
          <w:bCs/>
          <w:sz w:val="32"/>
          <w:szCs w:val="32"/>
          <w:lang w:val="en-US" w:eastAsia="zh-CN"/>
        </w:rPr>
        <w:t>内违规行为。</w:t>
      </w:r>
      <w:r>
        <w:rPr>
          <w:rFonts w:hint="eastAsia" w:ascii="CESI仿宋-GB2312" w:hAnsi="CESI仿宋-GB2312" w:eastAsia="CESI仿宋-GB2312" w:cs="CESI仿宋-GB2312"/>
          <w:b w:val="0"/>
          <w:bCs w:val="0"/>
          <w:sz w:val="32"/>
          <w:szCs w:val="32"/>
          <w:lang w:val="en-US" w:eastAsia="zh-CN"/>
        </w:rPr>
        <w:t>严格落实“一项目一考评”制度，集中通报了15家代理机构场内行为考核奖惩情况，通报评标专家违规行为62人次，口头提醒、纠正专家注意事项70多次，报送专家违规情况24次，口头提醒、纠正代理机构行为30多次，移送问题线索5条，配合公安、纪检等部门调取项目资料电子数据万余条。</w:t>
      </w:r>
      <w:r>
        <w:rPr>
          <w:rFonts w:hint="eastAsia" w:ascii="CESI仿宋-GB2312" w:hAnsi="CESI仿宋-GB2312" w:eastAsia="CESI仿宋-GB2312" w:cs="CESI仿宋-GB2312"/>
          <w:b/>
          <w:bCs/>
          <w:kern w:val="2"/>
          <w:sz w:val="32"/>
          <w:szCs w:val="32"/>
          <w:lang w:val="en-US" w:eastAsia="zh-CN" w:bidi="ar-SA"/>
        </w:rPr>
        <w:t>三是开展清廉中心</w:t>
      </w:r>
      <w:r>
        <w:rPr>
          <w:rFonts w:hint="eastAsia" w:ascii="CESI仿宋-GB2312" w:hAnsi="CESI仿宋-GB2312" w:eastAsia="CESI仿宋-GB2312" w:cs="CESI仿宋-GB2312"/>
          <w:b/>
          <w:bCs/>
          <w:sz w:val="32"/>
          <w:szCs w:val="32"/>
          <w:lang w:val="en-US" w:eastAsia="zh-CN"/>
        </w:rPr>
        <w:t>建设。</w:t>
      </w:r>
      <w:r>
        <w:rPr>
          <w:rFonts w:hint="eastAsia" w:ascii="CESI仿宋-GB2312" w:hAnsi="CESI仿宋-GB2312" w:eastAsia="CESI仿宋-GB2312" w:cs="CESI仿宋-GB2312"/>
          <w:sz w:val="32"/>
          <w:szCs w:val="32"/>
          <w:lang w:val="en-US" w:eastAsia="zh-CN"/>
        </w:rPr>
        <w:t>持续纠治“四风”问题，开展“两带头、五整治”专项行动、领导干部利用影响力牟利等专项整治，根据《清廉益阳交易中心建设实施方案》和《任务清单》要求开展清廉文化宣传推广，制作“一把手谈清廉”短视频。</w:t>
      </w:r>
      <w:r>
        <w:rPr>
          <w:rFonts w:hint="eastAsia" w:ascii="CESI仿宋-GB2312" w:hAnsi="CESI仿宋-GB2312" w:eastAsia="CESI仿宋-GB2312" w:cs="CESI仿宋-GB2312"/>
          <w:b/>
          <w:bCs/>
          <w:sz w:val="32"/>
          <w:szCs w:val="32"/>
          <w:lang w:val="en-US" w:eastAsia="zh-CN"/>
        </w:rPr>
        <w:t>四是</w:t>
      </w:r>
      <w:r>
        <w:rPr>
          <w:rFonts w:hint="eastAsia" w:ascii="CESI仿宋-GB2312" w:hAnsi="CESI仿宋-GB2312" w:eastAsia="CESI仿宋-GB2312" w:cs="CESI仿宋-GB2312"/>
          <w:b/>
          <w:bCs/>
          <w:kern w:val="2"/>
          <w:sz w:val="32"/>
          <w:szCs w:val="32"/>
          <w:lang w:val="en-US" w:eastAsia="zh-CN" w:bidi="ar-SA"/>
        </w:rPr>
        <w:t>深入推进政治生态强基工程。</w:t>
      </w:r>
      <w:r>
        <w:rPr>
          <w:rFonts w:hint="eastAsia" w:ascii="CESI仿宋-GB2312" w:hAnsi="CESI仿宋-GB2312" w:eastAsia="CESI仿宋-GB2312" w:cs="CESI仿宋-GB2312"/>
          <w:sz w:val="32"/>
          <w:szCs w:val="32"/>
          <w:lang w:val="en-US" w:eastAsia="zh-CN"/>
        </w:rPr>
        <w:t>坚持廉政提醒谈话，“一把手”谈班子成</w:t>
      </w:r>
      <w:r>
        <w:rPr>
          <w:rFonts w:hint="eastAsia" w:ascii="CESI仿宋-GB2312" w:hAnsi="CESI仿宋-GB2312" w:eastAsia="CESI仿宋-GB2312" w:cs="CESI仿宋-GB2312"/>
          <w:b w:val="0"/>
          <w:bCs w:val="0"/>
          <w:sz w:val="32"/>
          <w:szCs w:val="32"/>
          <w:lang w:val="en-US" w:eastAsia="zh-CN"/>
        </w:rPr>
        <w:t>员、</w:t>
      </w:r>
      <w:r>
        <w:rPr>
          <w:rFonts w:hint="eastAsia" w:ascii="CESI仿宋-GB2312" w:hAnsi="CESI仿宋-GB2312" w:eastAsia="CESI仿宋-GB2312" w:cs="CESI仿宋-GB2312"/>
          <w:b w:val="0"/>
          <w:bCs w:val="0"/>
          <w:kern w:val="2"/>
          <w:sz w:val="32"/>
          <w:szCs w:val="32"/>
          <w:lang w:val="en-US" w:eastAsia="zh-CN" w:bidi="ar-SA"/>
        </w:rPr>
        <w:t>班子</w:t>
      </w:r>
      <w:r>
        <w:rPr>
          <w:rFonts w:hint="eastAsia" w:ascii="CESI仿宋-GB2312" w:hAnsi="CESI仿宋-GB2312" w:eastAsia="CESI仿宋-GB2312" w:cs="CESI仿宋-GB2312"/>
          <w:b w:val="0"/>
          <w:bCs w:val="0"/>
          <w:sz w:val="32"/>
          <w:szCs w:val="32"/>
          <w:lang w:val="en-US" w:eastAsia="zh-CN"/>
        </w:rPr>
        <w:t>成</w:t>
      </w:r>
      <w:r>
        <w:rPr>
          <w:rFonts w:hint="eastAsia" w:ascii="CESI仿宋-GB2312" w:hAnsi="CESI仿宋-GB2312" w:eastAsia="CESI仿宋-GB2312" w:cs="CESI仿宋-GB2312"/>
          <w:sz w:val="32"/>
          <w:szCs w:val="32"/>
          <w:lang w:val="en-US" w:eastAsia="zh-CN"/>
        </w:rPr>
        <w:t>员谈科室负责人、科室负责人谈全体科室人员全覆盖。对评标专家违法违规情况通报和益阳评标专家违纪违法系列案开展“以案示警”同级同类警示教育。</w:t>
      </w:r>
    </w:p>
    <w:p>
      <w:pPr>
        <w:keepNext w:val="0"/>
        <w:keepLines w:val="0"/>
        <w:pageBreakBefore w:val="0"/>
        <w:widowControl/>
        <w:kinsoku/>
        <w:wordWrap/>
        <w:overflowPunct/>
        <w:topLinePunct w:val="0"/>
        <w:autoSpaceDE/>
        <w:autoSpaceDN/>
        <w:bidi w:val="0"/>
        <w:adjustRightInd/>
        <w:snapToGrid/>
        <w:spacing w:line="580" w:lineRule="exact"/>
        <w:ind w:firstLine="602" w:firstLineChars="200"/>
        <w:jc w:val="left"/>
        <w:textAlignment w:val="auto"/>
        <w:rPr>
          <w:rFonts w:hint="eastAsia" w:ascii="宋体" w:hAnsi="宋体" w:eastAsia="宋体" w:cs="宋体"/>
          <w:b/>
          <w:bCs/>
          <w:color w:val="000000" w:themeColor="text1"/>
          <w:kern w:val="0"/>
          <w:sz w:val="30"/>
          <w:szCs w:val="30"/>
          <w:lang w:val="en-US" w:eastAsia="zh-CN"/>
          <w14:textFill>
            <w14:solidFill>
              <w14:schemeClr w14:val="tx1"/>
            </w14:solidFill>
          </w14:textFill>
        </w:rPr>
      </w:pPr>
      <w:r>
        <w:rPr>
          <w:rFonts w:hint="eastAsia" w:ascii="宋体" w:hAnsi="宋体" w:eastAsia="宋体" w:cs="宋体"/>
          <w:b/>
          <w:bCs/>
          <w:color w:val="000000" w:themeColor="text1"/>
          <w:kern w:val="0"/>
          <w:sz w:val="30"/>
          <w:szCs w:val="30"/>
          <w:lang w:val="en-US" w:eastAsia="zh-CN"/>
          <w14:textFill>
            <w14:solidFill>
              <w14:schemeClr w14:val="tx1"/>
            </w14:solidFill>
          </w14:textFill>
        </w:rPr>
        <w:t>七、存在的问题及原因分析</w:t>
      </w:r>
    </w:p>
    <w:p>
      <w:pPr>
        <w:keepNext w:val="0"/>
        <w:keepLines w:val="0"/>
        <w:pageBreakBefore w:val="0"/>
        <w:kinsoku/>
        <w:wordWrap/>
        <w:overflowPunct/>
        <w:topLinePunct w:val="0"/>
        <w:autoSpaceDE/>
        <w:autoSpaceDN/>
        <w:bidi w:val="0"/>
        <w:spacing w:after="0" w:line="600" w:lineRule="exact"/>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年初预算与当年总预算有一定的差异，在以后的工作中，要加强与科室间的沟通，及时了解资金需求，根据实际资金需要情况执行预算，并报告市财政局。</w:t>
      </w:r>
    </w:p>
    <w:p>
      <w:pPr>
        <w:keepNext w:val="0"/>
        <w:keepLines w:val="0"/>
        <w:pageBreakBefore w:val="0"/>
        <w:widowControl/>
        <w:kinsoku/>
        <w:wordWrap/>
        <w:overflowPunct/>
        <w:topLinePunct w:val="0"/>
        <w:autoSpaceDE/>
        <w:autoSpaceDN/>
        <w:bidi w:val="0"/>
        <w:adjustRightInd/>
        <w:snapToGrid/>
        <w:spacing w:line="580" w:lineRule="exact"/>
        <w:ind w:firstLine="600" w:firstLineChars="200"/>
        <w:textAlignment w:val="auto"/>
        <w:rPr>
          <w:rFonts w:hint="eastAsia" w:ascii="宋体" w:hAnsi="宋体" w:eastAsia="宋体" w:cs="宋体"/>
          <w:b/>
          <w:bCs/>
          <w:color w:val="000000" w:themeColor="text1"/>
          <w:kern w:val="0"/>
          <w:sz w:val="30"/>
          <w:szCs w:val="30"/>
          <w:lang w:val="en-US" w:eastAsia="zh-CN"/>
          <w14:textFill>
            <w14:solidFill>
              <w14:schemeClr w14:val="tx1"/>
            </w14:solidFill>
          </w14:textFill>
        </w:rPr>
      </w:pPr>
      <w:r>
        <w:rPr>
          <w:rFonts w:hint="eastAsia" w:ascii="仿宋" w:hAnsi="仿宋" w:eastAsia="仿宋" w:cs="宋体"/>
          <w:color w:val="000000" w:themeColor="text1"/>
          <w:kern w:val="0"/>
          <w:sz w:val="30"/>
          <w:szCs w:val="30"/>
          <w:lang w:val="en-US" w:eastAsia="zh-CN"/>
          <w14:textFill>
            <w14:solidFill>
              <w14:schemeClr w14:val="tx1"/>
            </w14:solidFill>
          </w14:textFill>
        </w:rPr>
        <w:t xml:space="preserve"> </w:t>
      </w:r>
      <w:r>
        <w:rPr>
          <w:rFonts w:hint="eastAsia" w:ascii="宋体" w:hAnsi="宋体" w:eastAsia="宋体" w:cs="宋体"/>
          <w:b/>
          <w:bCs/>
          <w:color w:val="000000" w:themeColor="text1"/>
          <w:kern w:val="0"/>
          <w:sz w:val="30"/>
          <w:szCs w:val="30"/>
          <w:lang w:val="en-US" w:eastAsia="zh-CN"/>
          <w14:textFill>
            <w14:solidFill>
              <w14:schemeClr w14:val="tx1"/>
            </w14:solidFill>
          </w14:textFill>
        </w:rPr>
        <w:t xml:space="preserve"> 八、下一步改进措施</w:t>
      </w:r>
    </w:p>
    <w:p>
      <w:pPr>
        <w:keepNext w:val="0"/>
        <w:keepLines w:val="0"/>
        <w:pageBreakBefore w:val="0"/>
        <w:kinsoku/>
        <w:wordWrap/>
        <w:overflowPunct/>
        <w:topLinePunct w:val="0"/>
        <w:autoSpaceDE/>
        <w:autoSpaceDN/>
        <w:bidi w:val="0"/>
        <w:adjustRightInd/>
        <w:snapToGrid/>
        <w:spacing w:line="580" w:lineRule="exact"/>
        <w:ind w:firstLine="600" w:firstLineChars="200"/>
        <w:jc w:val="left"/>
        <w:textAlignment w:val="auto"/>
        <w:rPr>
          <w:rFonts w:hint="default" w:ascii="仿宋" w:hAnsi="仿宋" w:eastAsia="仿宋" w:cs="宋体"/>
          <w:color w:val="000000"/>
          <w:kern w:val="0"/>
          <w:sz w:val="30"/>
          <w:szCs w:val="30"/>
          <w:highlight w:val="none"/>
          <w:lang w:val="en-US" w:eastAsia="zh-CN"/>
        </w:rPr>
      </w:pPr>
      <w:r>
        <w:rPr>
          <w:rFonts w:hint="eastAsia" w:ascii="仿宋" w:hAnsi="仿宋" w:eastAsia="仿宋" w:cs="宋体"/>
          <w:color w:val="000000"/>
          <w:kern w:val="0"/>
          <w:sz w:val="30"/>
          <w:szCs w:val="30"/>
          <w:highlight w:val="none"/>
          <w:lang w:val="en-US" w:eastAsia="zh-CN"/>
        </w:rPr>
        <w:t>在今后的工作中一是加强预(决)算执行，严格按照《预算法》的规定做细、做实、做准预算，确保列入年度预算项目的切实可行。二是做好内控管理，把有限的资金用在刀刃上，切实发挥资金使用效益。</w:t>
      </w:r>
    </w:p>
    <w:p>
      <w:pPr>
        <w:keepNext w:val="0"/>
        <w:keepLines w:val="0"/>
        <w:pageBreakBefore w:val="0"/>
        <w:widowControl/>
        <w:kinsoku/>
        <w:wordWrap/>
        <w:overflowPunct/>
        <w:topLinePunct w:val="0"/>
        <w:autoSpaceDE/>
        <w:autoSpaceDN/>
        <w:bidi w:val="0"/>
        <w:adjustRightInd/>
        <w:snapToGrid/>
        <w:spacing w:line="580" w:lineRule="exact"/>
        <w:ind w:firstLine="602" w:firstLineChars="200"/>
        <w:textAlignment w:val="auto"/>
        <w:rPr>
          <w:rFonts w:hint="eastAsia" w:ascii="宋体" w:hAnsi="宋体" w:eastAsia="宋体" w:cs="宋体"/>
          <w:b/>
          <w:bCs/>
          <w:color w:val="000000" w:themeColor="text1"/>
          <w:kern w:val="0"/>
          <w:sz w:val="30"/>
          <w:szCs w:val="30"/>
          <w:lang w:val="en-US" w:eastAsia="zh-CN"/>
          <w14:textFill>
            <w14:solidFill>
              <w14:schemeClr w14:val="tx1"/>
            </w14:solidFill>
          </w14:textFill>
        </w:rPr>
      </w:pPr>
      <w:r>
        <w:rPr>
          <w:rFonts w:hint="eastAsia" w:ascii="宋体" w:hAnsi="宋体" w:eastAsia="宋体" w:cs="宋体"/>
          <w:b/>
          <w:bCs/>
          <w:color w:val="000000" w:themeColor="text1"/>
          <w:kern w:val="0"/>
          <w:sz w:val="30"/>
          <w:szCs w:val="30"/>
          <w:lang w:val="en-US" w:eastAsia="zh-CN"/>
          <w14:textFill>
            <w14:solidFill>
              <w14:schemeClr w14:val="tx1"/>
            </w14:solidFill>
          </w14:textFill>
        </w:rPr>
        <w:t xml:space="preserve"> 九、部门整体支出绩效自评结果拟应用和公开情况</w:t>
      </w:r>
    </w:p>
    <w:p>
      <w:pPr>
        <w:keepNext w:val="0"/>
        <w:keepLines w:val="0"/>
        <w:pageBreakBefore w:val="0"/>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宋体"/>
          <w:color w:val="000000"/>
          <w:kern w:val="0"/>
          <w:sz w:val="30"/>
          <w:szCs w:val="30"/>
          <w:highlight w:val="none"/>
          <w:lang w:val="en-US" w:eastAsia="zh-CN"/>
        </w:rPr>
      </w:pPr>
      <w:r>
        <w:rPr>
          <w:rFonts w:hint="eastAsia" w:ascii="仿宋" w:hAnsi="仿宋" w:eastAsia="仿宋" w:cs="宋体"/>
          <w:color w:val="000000"/>
          <w:kern w:val="0"/>
          <w:sz w:val="30"/>
          <w:szCs w:val="30"/>
          <w:highlight w:val="none"/>
          <w:lang w:val="en-US" w:eastAsia="zh-CN"/>
        </w:rPr>
        <w:t>2023年市公共资源交易中心部门整体支出绩效自评100分，自评结果为“优秀”。市公共资源交易中心按照市财政局的要求在规定时间内将绩效自评报告在网站上进行了公示。</w:t>
      </w:r>
    </w:p>
    <w:p>
      <w:pPr>
        <w:pStyle w:val="2"/>
        <w:numPr>
          <w:ilvl w:val="0"/>
          <w:numId w:val="0"/>
        </w:numPr>
        <w:ind w:firstLine="602" w:firstLineChars="200"/>
        <w:rPr>
          <w:rFonts w:hint="eastAsia" w:ascii="宋体" w:hAnsi="宋体" w:eastAsia="宋体" w:cs="宋体"/>
          <w:b/>
          <w:bCs/>
          <w:color w:val="000000" w:themeColor="text1"/>
          <w:kern w:val="0"/>
          <w:sz w:val="30"/>
          <w:szCs w:val="30"/>
          <w:lang w:val="en-US" w:eastAsia="zh-CN" w:bidi="ar-SA"/>
          <w14:textFill>
            <w14:solidFill>
              <w14:schemeClr w14:val="tx1"/>
            </w14:solidFill>
          </w14:textFill>
        </w:rPr>
      </w:pPr>
      <w:r>
        <w:rPr>
          <w:rFonts w:hint="eastAsia" w:ascii="宋体" w:hAnsi="宋体" w:cs="宋体"/>
          <w:b/>
          <w:bCs/>
          <w:color w:val="000000" w:themeColor="text1"/>
          <w:kern w:val="0"/>
          <w:sz w:val="30"/>
          <w:szCs w:val="30"/>
          <w:lang w:val="en-US" w:eastAsia="zh-CN" w:bidi="ar-SA"/>
          <w14:textFill>
            <w14:solidFill>
              <w14:schemeClr w14:val="tx1"/>
            </w14:solidFill>
          </w14:textFill>
        </w:rPr>
        <w:t>十、</w:t>
      </w:r>
      <w:r>
        <w:rPr>
          <w:rFonts w:hint="eastAsia" w:ascii="宋体" w:hAnsi="宋体" w:eastAsia="宋体" w:cs="宋体"/>
          <w:b/>
          <w:bCs/>
          <w:color w:val="000000" w:themeColor="text1"/>
          <w:kern w:val="0"/>
          <w:sz w:val="30"/>
          <w:szCs w:val="30"/>
          <w:lang w:val="en-US" w:eastAsia="zh-CN" w:bidi="ar-SA"/>
          <w14:textFill>
            <w14:solidFill>
              <w14:schemeClr w14:val="tx1"/>
            </w14:solidFill>
          </w14:textFill>
        </w:rPr>
        <w:t>其他需要说明的情况</w:t>
      </w:r>
    </w:p>
    <w:p>
      <w:pPr>
        <w:keepNext w:val="0"/>
        <w:keepLines w:val="0"/>
        <w:pageBreakBefore w:val="0"/>
        <w:kinsoku/>
        <w:wordWrap/>
        <w:overflowPunct/>
        <w:topLinePunct w:val="0"/>
        <w:autoSpaceDE/>
        <w:autoSpaceDN/>
        <w:bidi w:val="0"/>
        <w:adjustRightInd/>
        <w:snapToGrid/>
        <w:spacing w:line="580" w:lineRule="exact"/>
        <w:ind w:firstLine="600" w:firstLineChars="200"/>
        <w:jc w:val="left"/>
        <w:textAlignment w:val="auto"/>
        <w:rPr>
          <w:rFonts w:hint="default" w:ascii="仿宋" w:hAnsi="仿宋" w:eastAsia="仿宋" w:cs="宋体"/>
          <w:color w:val="000000"/>
          <w:kern w:val="0"/>
          <w:sz w:val="30"/>
          <w:szCs w:val="30"/>
          <w:highlight w:val="none"/>
          <w:lang w:val="en-US" w:eastAsia="zh-CN"/>
        </w:rPr>
      </w:pPr>
      <w:r>
        <w:rPr>
          <w:rFonts w:hint="eastAsia" w:ascii="仿宋" w:hAnsi="仿宋" w:eastAsia="仿宋" w:cs="宋体"/>
          <w:color w:val="000000"/>
          <w:kern w:val="0"/>
          <w:sz w:val="30"/>
          <w:szCs w:val="30"/>
          <w:highlight w:val="none"/>
          <w:lang w:val="en-US" w:eastAsia="zh-CN"/>
        </w:rPr>
        <w:t>2023年无其他需要说明的情况。</w:t>
      </w:r>
    </w:p>
    <w:p>
      <w:pPr>
        <w:keepNext w:val="0"/>
        <w:keepLines w:val="0"/>
        <w:pageBreakBefore w:val="0"/>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宋体"/>
          <w:color w:val="000000"/>
          <w:kern w:val="0"/>
          <w:sz w:val="30"/>
          <w:szCs w:val="30"/>
          <w:highlight w:val="none"/>
          <w:lang w:val="en-US" w:eastAsia="zh-CN"/>
        </w:rPr>
      </w:pPr>
    </w:p>
    <w:p>
      <w:pPr>
        <w:keepNext w:val="0"/>
        <w:keepLines w:val="0"/>
        <w:pageBreakBefore w:val="0"/>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宋体"/>
          <w:color w:val="000000"/>
          <w:kern w:val="0"/>
          <w:sz w:val="30"/>
          <w:szCs w:val="30"/>
          <w:highlight w:val="none"/>
          <w:lang w:val="en-US" w:eastAsia="zh-CN"/>
        </w:rPr>
      </w:pPr>
      <w:r>
        <w:rPr>
          <w:rFonts w:hint="eastAsia" w:ascii="仿宋" w:hAnsi="仿宋" w:eastAsia="仿宋" w:cs="宋体"/>
          <w:color w:val="000000"/>
          <w:kern w:val="0"/>
          <w:sz w:val="30"/>
          <w:szCs w:val="30"/>
          <w:highlight w:val="none"/>
          <w:lang w:val="en-US" w:eastAsia="zh-CN"/>
        </w:rPr>
        <w:t>附件：1、部门整体支出绩效评价基础数据表</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1500" w:firstLineChars="500"/>
        <w:jc w:val="left"/>
        <w:textAlignment w:val="auto"/>
        <w:rPr>
          <w:rFonts w:hint="eastAsia" w:ascii="仿宋" w:hAnsi="仿宋" w:eastAsia="仿宋" w:cs="宋体"/>
          <w:color w:val="000000"/>
          <w:kern w:val="0"/>
          <w:sz w:val="30"/>
          <w:szCs w:val="30"/>
          <w:highlight w:val="none"/>
          <w:lang w:val="en-US" w:eastAsia="zh-CN"/>
        </w:rPr>
      </w:pPr>
      <w:r>
        <w:rPr>
          <w:rFonts w:hint="eastAsia" w:ascii="仿宋" w:hAnsi="仿宋" w:eastAsia="仿宋" w:cs="宋体"/>
          <w:color w:val="000000"/>
          <w:kern w:val="0"/>
          <w:sz w:val="30"/>
          <w:szCs w:val="30"/>
          <w:highlight w:val="none"/>
          <w:lang w:val="en-US" w:eastAsia="zh-CN"/>
        </w:rPr>
        <w:t>部门整体支出绩效自评表</w:t>
      </w:r>
    </w:p>
    <w:p>
      <w:pPr>
        <w:pStyle w:val="2"/>
        <w:numPr>
          <w:ilvl w:val="0"/>
          <w:numId w:val="0"/>
        </w:numPr>
        <w:rPr>
          <w:rFonts w:hint="default" w:ascii="仿宋" w:hAnsi="仿宋" w:eastAsia="仿宋" w:cs="宋体"/>
          <w:color w:val="000000"/>
          <w:kern w:val="0"/>
          <w:sz w:val="30"/>
          <w:szCs w:val="30"/>
          <w:highlight w:val="none"/>
          <w:lang w:val="en-US" w:eastAsia="zh-CN" w:bidi="ar-SA"/>
        </w:rPr>
      </w:pPr>
      <w:r>
        <w:rPr>
          <w:rFonts w:hint="eastAsia"/>
          <w:lang w:val="en-US" w:eastAsia="zh-CN"/>
        </w:rPr>
        <w:t xml:space="preserve">         </w:t>
      </w:r>
      <w:r>
        <w:rPr>
          <w:rFonts w:hint="eastAsia" w:ascii="仿宋" w:hAnsi="仿宋" w:eastAsia="仿宋" w:cs="宋体"/>
          <w:color w:val="000000"/>
          <w:kern w:val="0"/>
          <w:sz w:val="30"/>
          <w:szCs w:val="30"/>
          <w:highlight w:val="none"/>
          <w:lang w:val="en-US" w:eastAsia="zh-CN" w:bidi="ar-SA"/>
        </w:rPr>
        <w:t xml:space="preserve">    3、项目支出绩效自评表</w:t>
      </w:r>
    </w:p>
    <w:p>
      <w:pPr>
        <w:keepNext w:val="0"/>
        <w:keepLines w:val="0"/>
        <w:pageBreakBefore w:val="0"/>
        <w:widowControl/>
        <w:tabs>
          <w:tab w:val="left" w:pos="989"/>
        </w:tabs>
        <w:kinsoku/>
        <w:wordWrap/>
        <w:overflowPunct/>
        <w:topLinePunct w:val="0"/>
        <w:autoSpaceDE/>
        <w:autoSpaceDN/>
        <w:bidi w:val="0"/>
        <w:adjustRightInd/>
        <w:snapToGrid/>
        <w:spacing w:line="580" w:lineRule="exact"/>
        <w:jc w:val="left"/>
        <w:textAlignment w:val="auto"/>
        <w:rPr>
          <w:rFonts w:hint="default" w:ascii="仿宋" w:hAnsi="仿宋" w:eastAsia="仿宋" w:cs="宋体"/>
          <w:color w:val="FF0000"/>
          <w:kern w:val="0"/>
          <w:sz w:val="30"/>
          <w:szCs w:val="30"/>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right="975"/>
        <w:jc w:val="center"/>
        <w:textAlignment w:val="auto"/>
        <w:rPr>
          <w:rFonts w:ascii="仿宋" w:hAnsi="仿宋" w:eastAsia="仿宋" w:cs="宋体"/>
          <w:color w:val="000000" w:themeColor="text1"/>
          <w:kern w:val="0"/>
          <w:sz w:val="30"/>
          <w:szCs w:val="3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right="975"/>
        <w:jc w:val="right"/>
        <w:textAlignment w:val="auto"/>
        <w:rPr>
          <w:rFonts w:ascii="仿宋" w:hAnsi="仿宋" w:eastAsia="仿宋" w:cs="宋体"/>
          <w:color w:val="000000" w:themeColor="text1"/>
          <w:kern w:val="0"/>
          <w:sz w:val="30"/>
          <w:szCs w:val="3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right="975"/>
        <w:jc w:val="right"/>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益阳市公共资源交易中心</w:t>
      </w:r>
    </w:p>
    <w:p>
      <w:pPr>
        <w:keepNext w:val="0"/>
        <w:keepLines w:val="0"/>
        <w:pageBreakBefore w:val="0"/>
        <w:widowControl/>
        <w:kinsoku/>
        <w:wordWrap/>
        <w:overflowPunct/>
        <w:topLinePunct w:val="0"/>
        <w:autoSpaceDE/>
        <w:autoSpaceDN/>
        <w:bidi w:val="0"/>
        <w:adjustRightInd/>
        <w:snapToGrid/>
        <w:spacing w:line="580" w:lineRule="exact"/>
        <w:ind w:right="1575"/>
        <w:jc w:val="right"/>
        <w:textAlignment w:val="auto"/>
        <w:rPr>
          <w:rFonts w:hint="eastAsia"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lang w:eastAsia="zh-CN"/>
          <w14:textFill>
            <w14:solidFill>
              <w14:schemeClr w14:val="tx1"/>
            </w14:solidFill>
          </w14:textFill>
        </w:rPr>
        <w:t>202</w:t>
      </w:r>
      <w:r>
        <w:rPr>
          <w:rFonts w:hint="eastAsia" w:ascii="仿宋" w:hAnsi="仿宋" w:eastAsia="仿宋" w:cs="宋体"/>
          <w:color w:val="000000" w:themeColor="text1"/>
          <w:kern w:val="0"/>
          <w:sz w:val="30"/>
          <w:szCs w:val="30"/>
          <w:lang w:val="en-US" w:eastAsia="zh-CN"/>
          <w14:textFill>
            <w14:solidFill>
              <w14:schemeClr w14:val="tx1"/>
            </w14:solidFill>
          </w14:textFill>
        </w:rPr>
        <w:t>4</w:t>
      </w:r>
      <w:r>
        <w:rPr>
          <w:rFonts w:hint="eastAsia" w:ascii="仿宋" w:hAnsi="仿宋" w:eastAsia="仿宋" w:cs="宋体"/>
          <w:color w:val="000000" w:themeColor="text1"/>
          <w:kern w:val="0"/>
          <w:sz w:val="30"/>
          <w:szCs w:val="30"/>
          <w14:textFill>
            <w14:solidFill>
              <w14:schemeClr w14:val="tx1"/>
            </w14:solidFill>
          </w14:textFill>
        </w:rPr>
        <w:t>年</w:t>
      </w:r>
      <w:r>
        <w:rPr>
          <w:rFonts w:hint="eastAsia" w:ascii="仿宋" w:hAnsi="仿宋" w:eastAsia="仿宋" w:cs="宋体"/>
          <w:color w:val="000000" w:themeColor="text1"/>
          <w:kern w:val="0"/>
          <w:sz w:val="30"/>
          <w:szCs w:val="30"/>
          <w:lang w:val="en-US" w:eastAsia="zh-CN"/>
          <w14:textFill>
            <w14:solidFill>
              <w14:schemeClr w14:val="tx1"/>
            </w14:solidFill>
          </w14:textFill>
        </w:rPr>
        <w:t>5</w:t>
      </w:r>
      <w:r>
        <w:rPr>
          <w:rFonts w:hint="eastAsia" w:ascii="仿宋" w:hAnsi="仿宋" w:eastAsia="仿宋" w:cs="宋体"/>
          <w:color w:val="000000" w:themeColor="text1"/>
          <w:kern w:val="0"/>
          <w:sz w:val="30"/>
          <w:szCs w:val="30"/>
          <w14:textFill>
            <w14:solidFill>
              <w14:schemeClr w14:val="tx1"/>
            </w14:solidFill>
          </w14:textFill>
        </w:rPr>
        <w:t>月</w:t>
      </w:r>
      <w:r>
        <w:rPr>
          <w:rFonts w:hint="eastAsia" w:ascii="仿宋" w:hAnsi="仿宋" w:eastAsia="仿宋" w:cs="宋体"/>
          <w:color w:val="000000" w:themeColor="text1"/>
          <w:kern w:val="0"/>
          <w:sz w:val="30"/>
          <w:szCs w:val="30"/>
          <w:lang w:val="en-US" w:eastAsia="zh-CN"/>
          <w14:textFill>
            <w14:solidFill>
              <w14:schemeClr w14:val="tx1"/>
            </w14:solidFill>
          </w14:textFill>
        </w:rPr>
        <w:t>22</w:t>
      </w:r>
      <w:r>
        <w:rPr>
          <w:rFonts w:hint="eastAsia" w:ascii="仿宋" w:hAnsi="仿宋" w:eastAsia="仿宋" w:cs="宋体"/>
          <w:color w:val="000000" w:themeColor="text1"/>
          <w:kern w:val="0"/>
          <w:sz w:val="30"/>
          <w:szCs w:val="30"/>
          <w14:textFill>
            <w14:solidFill>
              <w14:schemeClr w14:val="tx1"/>
            </w14:solidFill>
          </w14:textFill>
        </w:rPr>
        <w:t>日</w:t>
      </w:r>
    </w:p>
    <w:p>
      <w:pPr>
        <w:rPr>
          <w:rFonts w:hint="eastAsia"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br w:type="page"/>
      </w:r>
    </w:p>
    <w:tbl>
      <w:tblPr>
        <w:tblStyle w:val="6"/>
        <w:tblpPr w:leftFromText="180" w:rightFromText="180" w:vertAnchor="text" w:horzAnchor="page" w:tblpX="1864" w:tblpY="1270"/>
        <w:tblOverlap w:val="never"/>
        <w:tblW w:w="8460" w:type="dxa"/>
        <w:tblInd w:w="0" w:type="dxa"/>
        <w:shd w:val="clear" w:color="auto" w:fill="auto"/>
        <w:tblLayout w:type="fixed"/>
        <w:tblCellMar>
          <w:top w:w="0" w:type="dxa"/>
          <w:left w:w="0" w:type="dxa"/>
          <w:bottom w:w="0" w:type="dxa"/>
          <w:right w:w="0" w:type="dxa"/>
        </w:tblCellMar>
      </w:tblPr>
      <w:tblGrid>
        <w:gridCol w:w="2281"/>
        <w:gridCol w:w="1074"/>
        <w:gridCol w:w="1205"/>
        <w:gridCol w:w="1088"/>
        <w:gridCol w:w="772"/>
        <w:gridCol w:w="837"/>
        <w:gridCol w:w="1203"/>
      </w:tblGrid>
      <w:tr>
        <w:tblPrEx>
          <w:shd w:val="clear" w:color="auto" w:fill="auto"/>
          <w:tblLayout w:type="fixed"/>
          <w:tblCellMar>
            <w:top w:w="0" w:type="dxa"/>
            <w:left w:w="0" w:type="dxa"/>
            <w:bottom w:w="0" w:type="dxa"/>
            <w:right w:w="0" w:type="dxa"/>
          </w:tblCellMar>
        </w:tblPrEx>
        <w:trPr>
          <w:trHeight w:val="300" w:hRule="atLeast"/>
        </w:trPr>
        <w:tc>
          <w:tcPr>
            <w:tcW w:w="22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财政供养人员情况</w:t>
            </w:r>
          </w:p>
        </w:tc>
        <w:tc>
          <w:tcPr>
            <w:tcW w:w="22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编制数</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2023年实际在职人数</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控制率</w:t>
            </w:r>
          </w:p>
        </w:tc>
      </w:tr>
      <w:tr>
        <w:tblPrEx>
          <w:tblLayout w:type="fixed"/>
          <w:tblCellMar>
            <w:top w:w="0" w:type="dxa"/>
            <w:left w:w="0" w:type="dxa"/>
            <w:bottom w:w="0" w:type="dxa"/>
            <w:right w:w="0" w:type="dxa"/>
          </w:tblCellMar>
        </w:tblPrEx>
        <w:trPr>
          <w:trHeight w:val="182" w:hRule="atLeast"/>
        </w:trPr>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2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r>
      <w:tr>
        <w:tblPrEx>
          <w:tblLayout w:type="fixed"/>
          <w:tblCellMar>
            <w:top w:w="0" w:type="dxa"/>
            <w:left w:w="0" w:type="dxa"/>
            <w:bottom w:w="0" w:type="dxa"/>
            <w:right w:w="0" w:type="dxa"/>
          </w:tblCellMar>
        </w:tblPrEx>
        <w:trPr>
          <w:trHeight w:val="216" w:hRule="atLeast"/>
        </w:trPr>
        <w:tc>
          <w:tcPr>
            <w:tcW w:w="2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经费控制情况(万元)</w:t>
            </w:r>
          </w:p>
        </w:tc>
        <w:tc>
          <w:tcPr>
            <w:tcW w:w="22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2022年决算数</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2023年预算数</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2023年决算数</w:t>
            </w:r>
          </w:p>
        </w:tc>
      </w:tr>
      <w:tr>
        <w:tblPrEx>
          <w:tblLayout w:type="fixed"/>
          <w:tblCellMar>
            <w:top w:w="0" w:type="dxa"/>
            <w:left w:w="0" w:type="dxa"/>
            <w:bottom w:w="0" w:type="dxa"/>
            <w:right w:w="0" w:type="dxa"/>
          </w:tblCellMar>
        </w:tblPrEx>
        <w:trPr>
          <w:trHeight w:val="205" w:hRule="atLeast"/>
        </w:trPr>
        <w:tc>
          <w:tcPr>
            <w:tcW w:w="22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w:t>
            </w:r>
          </w:p>
        </w:tc>
        <w:tc>
          <w:tcPr>
            <w:tcW w:w="227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6.68</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6.68</w:t>
            </w:r>
          </w:p>
        </w:tc>
      </w:tr>
      <w:tr>
        <w:tblPrEx>
          <w:tblLayout w:type="fixed"/>
          <w:tblCellMar>
            <w:top w:w="0" w:type="dxa"/>
            <w:left w:w="0" w:type="dxa"/>
            <w:bottom w:w="0" w:type="dxa"/>
            <w:right w:w="0" w:type="dxa"/>
          </w:tblCellMar>
        </w:tblPrEx>
        <w:trPr>
          <w:trHeight w:val="300" w:hRule="atLeast"/>
        </w:trPr>
        <w:tc>
          <w:tcPr>
            <w:tcW w:w="22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1、公务用车购置和维护经费</w:t>
            </w:r>
          </w:p>
        </w:tc>
        <w:tc>
          <w:tcPr>
            <w:tcW w:w="227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w:t>
            </w:r>
          </w:p>
        </w:tc>
      </w:tr>
      <w:tr>
        <w:tblPrEx>
          <w:tblLayout w:type="fixed"/>
          <w:tblCellMar>
            <w:top w:w="0" w:type="dxa"/>
            <w:left w:w="0" w:type="dxa"/>
            <w:bottom w:w="0" w:type="dxa"/>
            <w:right w:w="0" w:type="dxa"/>
          </w:tblCellMar>
        </w:tblPrEx>
        <w:trPr>
          <w:trHeight w:val="205" w:hRule="atLeast"/>
        </w:trPr>
        <w:tc>
          <w:tcPr>
            <w:tcW w:w="22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其中：公车购置</w:t>
            </w:r>
          </w:p>
        </w:tc>
        <w:tc>
          <w:tcPr>
            <w:tcW w:w="227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205" w:hRule="atLeast"/>
        </w:trPr>
        <w:tc>
          <w:tcPr>
            <w:tcW w:w="22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公车运行维护</w:t>
            </w:r>
          </w:p>
        </w:tc>
        <w:tc>
          <w:tcPr>
            <w:tcW w:w="227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w:t>
            </w:r>
          </w:p>
        </w:tc>
      </w:tr>
      <w:tr>
        <w:tblPrEx>
          <w:tblLayout w:type="fixed"/>
          <w:tblCellMar>
            <w:top w:w="0" w:type="dxa"/>
            <w:left w:w="0" w:type="dxa"/>
            <w:bottom w:w="0" w:type="dxa"/>
            <w:right w:w="0" w:type="dxa"/>
          </w:tblCellMar>
        </w:tblPrEx>
        <w:trPr>
          <w:trHeight w:val="205" w:hRule="atLeast"/>
        </w:trPr>
        <w:tc>
          <w:tcPr>
            <w:tcW w:w="22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2、出国经费</w:t>
            </w:r>
          </w:p>
        </w:tc>
        <w:tc>
          <w:tcPr>
            <w:tcW w:w="227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205" w:hRule="atLeast"/>
        </w:trPr>
        <w:tc>
          <w:tcPr>
            <w:tcW w:w="22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3、公务接待</w:t>
            </w:r>
          </w:p>
        </w:tc>
        <w:tc>
          <w:tcPr>
            <w:tcW w:w="227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0.67</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r>
      <w:tr>
        <w:tblPrEx>
          <w:tblLayout w:type="fixed"/>
          <w:tblCellMar>
            <w:top w:w="0" w:type="dxa"/>
            <w:left w:w="0" w:type="dxa"/>
            <w:bottom w:w="0" w:type="dxa"/>
            <w:right w:w="0" w:type="dxa"/>
          </w:tblCellMar>
        </w:tblPrEx>
        <w:trPr>
          <w:trHeight w:val="205" w:hRule="atLeast"/>
        </w:trPr>
        <w:tc>
          <w:tcPr>
            <w:tcW w:w="22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227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205.76</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642.99</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642.99</w:t>
            </w:r>
          </w:p>
        </w:tc>
      </w:tr>
      <w:tr>
        <w:tblPrEx>
          <w:tblLayout w:type="fixed"/>
          <w:tblCellMar>
            <w:top w:w="0" w:type="dxa"/>
            <w:left w:w="0" w:type="dxa"/>
            <w:bottom w:w="0" w:type="dxa"/>
            <w:right w:w="0" w:type="dxa"/>
          </w:tblCellMar>
        </w:tblPrEx>
        <w:trPr>
          <w:trHeight w:val="205" w:hRule="atLeast"/>
        </w:trPr>
        <w:tc>
          <w:tcPr>
            <w:tcW w:w="22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1、业务工作经费</w:t>
            </w:r>
          </w:p>
        </w:tc>
        <w:tc>
          <w:tcPr>
            <w:tcW w:w="227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205.76</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642.99</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642.99</w:t>
            </w:r>
          </w:p>
        </w:tc>
      </w:tr>
      <w:tr>
        <w:tblPrEx>
          <w:tblLayout w:type="fixed"/>
          <w:tblCellMar>
            <w:top w:w="0" w:type="dxa"/>
            <w:left w:w="0" w:type="dxa"/>
            <w:bottom w:w="0" w:type="dxa"/>
            <w:right w:w="0" w:type="dxa"/>
          </w:tblCellMar>
        </w:tblPrEx>
        <w:trPr>
          <w:trHeight w:val="205" w:hRule="atLeast"/>
        </w:trPr>
        <w:tc>
          <w:tcPr>
            <w:tcW w:w="22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2、运行维护经费</w:t>
            </w:r>
          </w:p>
        </w:tc>
        <w:tc>
          <w:tcPr>
            <w:tcW w:w="227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3" w:hRule="atLeast"/>
        </w:trPr>
        <w:tc>
          <w:tcPr>
            <w:tcW w:w="22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3、本级专项资金（一个专项一行）</w:t>
            </w:r>
          </w:p>
        </w:tc>
        <w:tc>
          <w:tcPr>
            <w:tcW w:w="227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05" w:hRule="atLeast"/>
        </w:trPr>
        <w:tc>
          <w:tcPr>
            <w:tcW w:w="22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227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05" w:hRule="atLeast"/>
        </w:trPr>
        <w:tc>
          <w:tcPr>
            <w:tcW w:w="22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其中：办公经费</w:t>
            </w:r>
          </w:p>
        </w:tc>
        <w:tc>
          <w:tcPr>
            <w:tcW w:w="227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35.33</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21.04</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21.04</w:t>
            </w:r>
          </w:p>
        </w:tc>
      </w:tr>
      <w:tr>
        <w:tblPrEx>
          <w:tblLayout w:type="fixed"/>
          <w:tblCellMar>
            <w:top w:w="0" w:type="dxa"/>
            <w:left w:w="0" w:type="dxa"/>
            <w:bottom w:w="0" w:type="dxa"/>
            <w:right w:w="0" w:type="dxa"/>
          </w:tblCellMar>
        </w:tblPrEx>
        <w:trPr>
          <w:trHeight w:val="205" w:hRule="atLeast"/>
        </w:trPr>
        <w:tc>
          <w:tcPr>
            <w:tcW w:w="22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水费、电费、差旅费</w:t>
            </w:r>
          </w:p>
        </w:tc>
        <w:tc>
          <w:tcPr>
            <w:tcW w:w="227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69.56</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69.56</w:t>
            </w:r>
          </w:p>
        </w:tc>
      </w:tr>
      <w:tr>
        <w:tblPrEx>
          <w:tblLayout w:type="fixed"/>
          <w:tblCellMar>
            <w:top w:w="0" w:type="dxa"/>
            <w:left w:w="0" w:type="dxa"/>
            <w:bottom w:w="0" w:type="dxa"/>
            <w:right w:w="0" w:type="dxa"/>
          </w:tblCellMar>
        </w:tblPrEx>
        <w:trPr>
          <w:trHeight w:val="205" w:hRule="atLeast"/>
        </w:trPr>
        <w:tc>
          <w:tcPr>
            <w:tcW w:w="22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会议费、培训费</w:t>
            </w:r>
          </w:p>
        </w:tc>
        <w:tc>
          <w:tcPr>
            <w:tcW w:w="227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7.39</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6.99</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6.99</w:t>
            </w:r>
          </w:p>
        </w:tc>
      </w:tr>
      <w:tr>
        <w:tblPrEx>
          <w:tblLayout w:type="fixed"/>
          <w:tblCellMar>
            <w:top w:w="0" w:type="dxa"/>
            <w:left w:w="0" w:type="dxa"/>
            <w:bottom w:w="0" w:type="dxa"/>
            <w:right w:w="0" w:type="dxa"/>
          </w:tblCellMar>
        </w:tblPrEx>
        <w:trPr>
          <w:trHeight w:val="205" w:hRule="atLeast"/>
        </w:trPr>
        <w:tc>
          <w:tcPr>
            <w:tcW w:w="22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政府采购金额</w:t>
            </w:r>
          </w:p>
        </w:tc>
        <w:tc>
          <w:tcPr>
            <w:tcW w:w="227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601.88</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11.32</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11.32</w:t>
            </w:r>
          </w:p>
        </w:tc>
      </w:tr>
      <w:tr>
        <w:tblPrEx>
          <w:tblLayout w:type="fixed"/>
          <w:tblCellMar>
            <w:top w:w="0" w:type="dxa"/>
            <w:left w:w="0" w:type="dxa"/>
            <w:bottom w:w="0" w:type="dxa"/>
            <w:right w:w="0" w:type="dxa"/>
          </w:tblCellMar>
        </w:tblPrEx>
        <w:trPr>
          <w:trHeight w:val="205" w:hRule="atLeast"/>
        </w:trPr>
        <w:tc>
          <w:tcPr>
            <w:tcW w:w="22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部门基本支出预算调整 </w:t>
            </w:r>
          </w:p>
        </w:tc>
        <w:tc>
          <w:tcPr>
            <w:tcW w:w="227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49" w:hRule="atLeast"/>
        </w:trPr>
        <w:tc>
          <w:tcPr>
            <w:tcW w:w="22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楼堂馆所控制情况 </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（2023年完工项目）</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批复规模 </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实际规模</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规模控制率</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预算投资</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（万元）</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实际投资</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（万元）</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投资概算控制率</w:t>
            </w:r>
          </w:p>
        </w:tc>
      </w:tr>
      <w:tr>
        <w:tblPrEx>
          <w:tblLayout w:type="fixed"/>
          <w:tblCellMar>
            <w:top w:w="0" w:type="dxa"/>
            <w:left w:w="0" w:type="dxa"/>
            <w:bottom w:w="0" w:type="dxa"/>
            <w:right w:w="0" w:type="dxa"/>
          </w:tblCellMar>
        </w:tblPrEx>
        <w:trPr>
          <w:trHeight w:val="198" w:hRule="atLeast"/>
        </w:trPr>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28" w:hRule="atLeast"/>
        </w:trPr>
        <w:tc>
          <w:tcPr>
            <w:tcW w:w="2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厉行节约保障措施</w:t>
            </w:r>
          </w:p>
        </w:tc>
        <w:tc>
          <w:tcPr>
            <w:tcW w:w="617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kern w:val="0"/>
          <w:sz w:val="36"/>
          <w:szCs w:val="36"/>
        </w:rPr>
      </w:pPr>
      <w:r>
        <w:rPr>
          <w:rFonts w:hint="eastAsia" w:eastAsia="方正小标宋_GBK"/>
          <w:kern w:val="0"/>
          <w:sz w:val="36"/>
          <w:szCs w:val="36"/>
          <w:lang w:eastAsia="zh-CN"/>
        </w:rPr>
        <w:t>2023</w:t>
      </w:r>
      <w:r>
        <w:rPr>
          <w:rFonts w:eastAsia="方正小标宋_GBK"/>
          <w:kern w:val="0"/>
          <w:sz w:val="36"/>
          <w:szCs w:val="36"/>
        </w:rPr>
        <w:t>年度部门整体支出绩效评价基础数据表</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eastAsia="仿宋_GB2312"/>
          <w:kern w:val="0"/>
          <w:sz w:val="22"/>
          <w:szCs w:val="24"/>
          <w:lang w:eastAsia="zh-CN"/>
        </w:rPr>
      </w:pPr>
      <w:r>
        <w:rPr>
          <w:rFonts w:eastAsia="仿宋_GB2312"/>
          <w:kern w:val="0"/>
          <w:sz w:val="22"/>
          <w:szCs w:val="24"/>
        </w:rPr>
        <w:t>说明：“公用经费”填报基本支出中的一般商品和服务支出。“项目支出”需要填报基本支出以外的所有项目支出情况，</w:t>
      </w:r>
      <w:r>
        <w:rPr>
          <w:rFonts w:hint="eastAsia" w:eastAsia="仿宋_GB2312"/>
          <w:kern w:val="0"/>
          <w:sz w:val="22"/>
          <w:szCs w:val="24"/>
          <w:lang w:eastAsia="zh-CN"/>
        </w:rPr>
        <w:t>“运行维护经费”填报项目支出中用于人员类和公用运转类的支出。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Times New Roman"/>
          <w:sz w:val="32"/>
          <w:szCs w:val="32"/>
          <w:lang w:val="en-US" w:eastAsia="zh-CN"/>
        </w:rPr>
      </w:pPr>
      <w:r>
        <w:rPr>
          <w:rFonts w:eastAsia="仿宋_GB2312"/>
          <w:kern w:val="0"/>
          <w:sz w:val="22"/>
          <w:szCs w:val="24"/>
        </w:rPr>
        <w:t>填表人：        填报日期：          联系电话：            单位负责人签字：</w:t>
      </w:r>
      <w:r>
        <w:rPr>
          <w:rFonts w:eastAsia="仿宋_GB2312"/>
          <w:kern w:val="0"/>
          <w:sz w:val="22"/>
          <w:szCs w:val="24"/>
        </w:rPr>
        <w:br w:type="page"/>
      </w: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lang w:eastAsia="zh-CN"/>
        </w:rPr>
        <w:t>2023</w:t>
      </w:r>
      <w:r>
        <w:rPr>
          <w:rFonts w:ascii="Times New Roman" w:hAnsi="Times New Roman" w:eastAsia="方正小标宋_GBK" w:cs="Times New Roman"/>
          <w:color w:val="000000"/>
          <w:kern w:val="0"/>
          <w:sz w:val="36"/>
          <w:szCs w:val="36"/>
        </w:rPr>
        <w:t>年度部门整体支出绩效自评表</w:t>
      </w:r>
    </w:p>
    <w:tbl>
      <w:tblPr>
        <w:tblStyle w:val="6"/>
        <w:tblW w:w="888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397"/>
        <w:gridCol w:w="578"/>
        <w:gridCol w:w="1052"/>
        <w:gridCol w:w="1749"/>
        <w:gridCol w:w="901"/>
        <w:gridCol w:w="943"/>
        <w:gridCol w:w="209"/>
        <w:gridCol w:w="354"/>
        <w:gridCol w:w="353"/>
        <w:gridCol w:w="558"/>
        <w:gridCol w:w="820"/>
        <w:gridCol w:w="96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Ex>
        <w:trPr>
          <w:trHeight w:val="374" w:hRule="atLeast"/>
        </w:trPr>
        <w:tc>
          <w:tcPr>
            <w:tcW w:w="2027" w:type="dxa"/>
            <w:gridSpan w:val="3"/>
            <w:tcBorders>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预算部门名称</w:t>
            </w:r>
          </w:p>
        </w:tc>
        <w:tc>
          <w:tcPr>
            <w:tcW w:w="6853" w:type="dxa"/>
            <w:gridSpan w:val="9"/>
            <w:tcBorders>
              <w:left w:val="single" w:color="000000" w:sz="4" w:space="0"/>
              <w:bottom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益阳市公共资源交易中心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1017" w:hRule="atLeast"/>
        </w:trPr>
        <w:tc>
          <w:tcPr>
            <w:tcW w:w="2027" w:type="dxa"/>
            <w:gridSpan w:val="3"/>
            <w:vMerge w:val="restar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Microsoft YaHei UI" w:hAnsi="Microsoft YaHei UI" w:eastAsia="Microsoft YaHei UI" w:cs="Microsoft YaHei UI"/>
                <w:i w:val="0"/>
                <w:color w:val="000000"/>
                <w:sz w:val="20"/>
                <w:szCs w:val="20"/>
                <w:u w:val="none"/>
              </w:rPr>
            </w:pPr>
            <w:r>
              <w:rPr>
                <w:rFonts w:hint="default" w:ascii="Microsoft YaHei UI" w:hAnsi="Microsoft YaHei UI" w:eastAsia="Microsoft YaHei UI" w:cs="Microsoft YaHei UI"/>
                <w:i w:val="0"/>
                <w:color w:val="000000"/>
                <w:kern w:val="0"/>
                <w:sz w:val="20"/>
                <w:szCs w:val="20"/>
                <w:u w:val="none"/>
                <w:lang w:val="en-US" w:eastAsia="zh-CN" w:bidi="ar"/>
              </w:rPr>
              <w:t>年度预算申请</w:t>
            </w:r>
            <w:r>
              <w:rPr>
                <w:rFonts w:hint="default" w:ascii="Microsoft YaHei UI" w:hAnsi="Microsoft YaHei UI" w:eastAsia="Microsoft YaHei UI" w:cs="Microsoft YaHei UI"/>
                <w:i w:val="0"/>
                <w:color w:val="000000"/>
                <w:kern w:val="0"/>
                <w:sz w:val="20"/>
                <w:szCs w:val="20"/>
                <w:u w:val="none"/>
                <w:lang w:val="en-US" w:eastAsia="zh-CN" w:bidi="ar"/>
              </w:rPr>
              <w:br w:type="textWrapping"/>
            </w:r>
            <w:r>
              <w:rPr>
                <w:rFonts w:hint="default" w:ascii="Microsoft YaHei UI" w:hAnsi="Microsoft YaHei UI" w:eastAsia="Microsoft YaHei UI" w:cs="Microsoft YaHei UI"/>
                <w:i w:val="0"/>
                <w:color w:val="000000"/>
                <w:kern w:val="0"/>
                <w:sz w:val="20"/>
                <w:szCs w:val="20"/>
                <w:u w:val="none"/>
                <w:lang w:val="en-US" w:eastAsia="zh-CN" w:bidi="ar"/>
              </w:rPr>
              <w:t>(万元)</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年初预算数(万元)</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全年预算数（万元）</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96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374" w:hRule="atLeast"/>
        </w:trPr>
        <w:tc>
          <w:tcPr>
            <w:tcW w:w="2027" w:type="dxa"/>
            <w:gridSpan w:val="3"/>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Microsoft YaHei UI" w:hAnsi="Microsoft YaHei UI" w:eastAsia="Microsoft YaHei UI" w:cs="Microsoft YaHei UI"/>
                <w:i w:val="0"/>
                <w:color w:val="000000"/>
                <w:sz w:val="20"/>
                <w:szCs w:val="20"/>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年度资金总额：</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1464.70</w:t>
            </w:r>
          </w:p>
        </w:tc>
        <w:tc>
          <w:tcPr>
            <w:tcW w:w="9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1982.89</w:t>
            </w:r>
          </w:p>
        </w:tc>
        <w:tc>
          <w:tcPr>
            <w:tcW w:w="916" w:type="dxa"/>
            <w:gridSpan w:val="3"/>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1982.89</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100.00%</w:t>
            </w:r>
          </w:p>
        </w:tc>
        <w:tc>
          <w:tcPr>
            <w:tcW w:w="96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374" w:hRule="atLeast"/>
        </w:trPr>
        <w:tc>
          <w:tcPr>
            <w:tcW w:w="2027" w:type="dxa"/>
            <w:gridSpan w:val="3"/>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Microsoft YaHei UI" w:hAnsi="Microsoft YaHei UI" w:eastAsia="Microsoft YaHei UI" w:cs="Microsoft YaHei UI"/>
                <w:i w:val="0"/>
                <w:color w:val="000000"/>
                <w:sz w:val="20"/>
                <w:szCs w:val="20"/>
                <w:u w:val="none"/>
              </w:rPr>
            </w:pPr>
          </w:p>
        </w:tc>
        <w:tc>
          <w:tcPr>
            <w:tcW w:w="45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按收入性质分：</w:t>
            </w:r>
          </w:p>
        </w:tc>
        <w:tc>
          <w:tcPr>
            <w:tcW w:w="2344" w:type="dxa"/>
            <w:gridSpan w:val="3"/>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按支出性质分：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374" w:hRule="atLeast"/>
        </w:trPr>
        <w:tc>
          <w:tcPr>
            <w:tcW w:w="2027" w:type="dxa"/>
            <w:gridSpan w:val="3"/>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Microsoft YaHei UI" w:hAnsi="Microsoft YaHei UI" w:eastAsia="Microsoft YaHei UI" w:cs="Microsoft YaHei UI"/>
                <w:i w:val="0"/>
                <w:color w:val="000000"/>
                <w:sz w:val="20"/>
                <w:szCs w:val="20"/>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一般公共预算：</w:t>
            </w:r>
          </w:p>
        </w:tc>
        <w:tc>
          <w:tcPr>
            <w:tcW w:w="27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870.84</w:t>
            </w:r>
          </w:p>
        </w:tc>
        <w:tc>
          <w:tcPr>
            <w:tcW w:w="55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其中:基本支出：</w:t>
            </w:r>
          </w:p>
        </w:tc>
        <w:tc>
          <w:tcPr>
            <w:tcW w:w="1786" w:type="dxa"/>
            <w:gridSpan w:val="2"/>
            <w:vMerge w:val="restart"/>
            <w:tcBorders>
              <w:top w:val="single" w:color="000000" w:sz="4" w:space="0"/>
              <w:left w:val="nil"/>
              <w:bottom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1339.91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1313" w:hRule="atLeast"/>
        </w:trPr>
        <w:tc>
          <w:tcPr>
            <w:tcW w:w="2027" w:type="dxa"/>
            <w:gridSpan w:val="3"/>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Microsoft YaHei UI" w:hAnsi="Microsoft YaHei UI" w:eastAsia="Microsoft YaHei UI" w:cs="Microsoft YaHei UI"/>
                <w:i w:val="0"/>
                <w:color w:val="000000"/>
                <w:sz w:val="20"/>
                <w:szCs w:val="20"/>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政府性基金拨款：</w:t>
            </w:r>
          </w:p>
        </w:tc>
        <w:tc>
          <w:tcPr>
            <w:tcW w:w="27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0.00</w:t>
            </w:r>
          </w:p>
        </w:tc>
        <w:tc>
          <w:tcPr>
            <w:tcW w:w="55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86" w:type="dxa"/>
            <w:gridSpan w:val="2"/>
            <w:vMerge w:val="continue"/>
            <w:tcBorders>
              <w:top w:val="single" w:color="000000" w:sz="4" w:space="0"/>
              <w:left w:val="nil"/>
              <w:bottom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696" w:hRule="atLeast"/>
        </w:trPr>
        <w:tc>
          <w:tcPr>
            <w:tcW w:w="2027" w:type="dxa"/>
            <w:gridSpan w:val="3"/>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Microsoft YaHei UI" w:hAnsi="Microsoft YaHei UI" w:eastAsia="Microsoft YaHei UI" w:cs="Microsoft YaHei UI"/>
                <w:i w:val="0"/>
                <w:color w:val="000000"/>
                <w:sz w:val="20"/>
                <w:szCs w:val="20"/>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纳入专户管理的非税收入拨款：</w:t>
            </w:r>
          </w:p>
        </w:tc>
        <w:tc>
          <w:tcPr>
            <w:tcW w:w="27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1112.05</w:t>
            </w:r>
          </w:p>
        </w:tc>
        <w:tc>
          <w:tcPr>
            <w:tcW w:w="55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1786" w:type="dxa"/>
            <w:gridSpan w:val="2"/>
            <w:vMerge w:val="restart"/>
            <w:tcBorders>
              <w:top w:val="single" w:color="000000" w:sz="4" w:space="0"/>
              <w:left w:val="nil"/>
              <w:bottom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642.98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374" w:hRule="atLeast"/>
        </w:trPr>
        <w:tc>
          <w:tcPr>
            <w:tcW w:w="2027" w:type="dxa"/>
            <w:gridSpan w:val="3"/>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Microsoft YaHei UI" w:hAnsi="Microsoft YaHei UI" w:eastAsia="Microsoft YaHei UI" w:cs="Microsoft YaHei UI"/>
                <w:i w:val="0"/>
                <w:color w:val="000000"/>
                <w:sz w:val="20"/>
                <w:szCs w:val="20"/>
                <w:u w:val="none"/>
              </w:rPr>
            </w:pPr>
          </w:p>
        </w:tc>
        <w:tc>
          <w:tcPr>
            <w:tcW w:w="17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其他资金</w:t>
            </w:r>
          </w:p>
        </w:tc>
        <w:tc>
          <w:tcPr>
            <w:tcW w:w="2760" w:type="dxa"/>
            <w:gridSpan w:val="5"/>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0.00</w:t>
            </w:r>
          </w:p>
        </w:tc>
        <w:tc>
          <w:tcPr>
            <w:tcW w:w="55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86" w:type="dxa"/>
            <w:gridSpan w:val="2"/>
            <w:vMerge w:val="continue"/>
            <w:tcBorders>
              <w:top w:val="single" w:color="000000" w:sz="4" w:space="0"/>
              <w:left w:val="nil"/>
              <w:bottom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374" w:hRule="atLeast"/>
        </w:trPr>
        <w:tc>
          <w:tcPr>
            <w:tcW w:w="2027" w:type="dxa"/>
            <w:gridSpan w:val="3"/>
            <w:vMerge w:val="restar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年度总体目标</w:t>
            </w:r>
          </w:p>
        </w:tc>
        <w:tc>
          <w:tcPr>
            <w:tcW w:w="45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预期目标</w:t>
            </w:r>
          </w:p>
        </w:tc>
        <w:tc>
          <w:tcPr>
            <w:tcW w:w="2344" w:type="dxa"/>
            <w:gridSpan w:val="3"/>
            <w:tcBorders>
              <w:top w:val="single" w:color="000000" w:sz="4" w:space="0"/>
              <w:left w:val="nil"/>
              <w:bottom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实际完成情况</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3591" w:hRule="atLeast"/>
        </w:trPr>
        <w:tc>
          <w:tcPr>
            <w:tcW w:w="2027" w:type="dxa"/>
            <w:gridSpan w:val="3"/>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sz w:val="20"/>
                <w:szCs w:val="20"/>
                <w:u w:val="none"/>
              </w:rPr>
            </w:pPr>
          </w:p>
        </w:tc>
        <w:tc>
          <w:tcPr>
            <w:tcW w:w="45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 xml:space="preserve">完成公共资源交易额180亿元以上，完成交易笔数2000宗以上，收取交易服务费2200万元以上；做好公共资源交易平台及信息网络系统建设、运行、管理；为各类公共资源交易活动提供场所、设施和服务；收集、存储和发布各类公共资源交易信息。        </w:t>
            </w:r>
          </w:p>
        </w:tc>
        <w:tc>
          <w:tcPr>
            <w:tcW w:w="2344" w:type="dxa"/>
            <w:gridSpan w:val="3"/>
            <w:tcBorders>
              <w:top w:val="single" w:color="000000" w:sz="4" w:space="0"/>
              <w:left w:val="nil"/>
              <w:bottom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 xml:space="preserve">完成公共资源交易额196.97亿元以上，完成交易笔数2161宗，收取交易服务费2271万元；做好公共资源交易平台及信息网络系统建设、运行、管理；为各类公共资源交易活动提供场所、设施和服务；收集、存储和发布各类公共资源交易信息。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374" w:hRule="atLeast"/>
        </w:trPr>
        <w:tc>
          <w:tcPr>
            <w:tcW w:w="397" w:type="dxa"/>
            <w:vMerge w:val="restar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绩效指标</w:t>
            </w:r>
          </w:p>
        </w:tc>
        <w:tc>
          <w:tcPr>
            <w:tcW w:w="578"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一级指标</w:t>
            </w:r>
          </w:p>
        </w:tc>
        <w:tc>
          <w:tcPr>
            <w:tcW w:w="1052"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二级指标</w:t>
            </w:r>
          </w:p>
        </w:tc>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三级指标</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年度指标值</w:t>
            </w:r>
          </w:p>
        </w:tc>
        <w:tc>
          <w:tcPr>
            <w:tcW w:w="11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实际完成值</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分值</w:t>
            </w:r>
          </w:p>
        </w:tc>
        <w:tc>
          <w:tcPr>
            <w:tcW w:w="3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得分</w:t>
            </w:r>
          </w:p>
        </w:tc>
        <w:tc>
          <w:tcPr>
            <w:tcW w:w="2344" w:type="dxa"/>
            <w:gridSpan w:val="3"/>
            <w:vMerge w:val="restart"/>
            <w:tcBorders>
              <w:top w:val="single" w:color="000000" w:sz="4" w:space="0"/>
              <w:left w:val="nil"/>
              <w:bottom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偏差原因分析及改进措施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991" w:hRule="atLeast"/>
        </w:trPr>
        <w:tc>
          <w:tcPr>
            <w:tcW w:w="397" w:type="dxa"/>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sz w:val="20"/>
                <w:szCs w:val="20"/>
                <w:u w:val="none"/>
              </w:rPr>
            </w:pPr>
          </w:p>
        </w:tc>
        <w:tc>
          <w:tcPr>
            <w:tcW w:w="57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sz w:val="20"/>
                <w:szCs w:val="20"/>
                <w:u w:val="none"/>
              </w:rPr>
            </w:pPr>
          </w:p>
        </w:tc>
        <w:tc>
          <w:tcPr>
            <w:tcW w:w="1052"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sz w:val="20"/>
                <w:szCs w:val="20"/>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sz w:val="20"/>
                <w:szCs w:val="20"/>
                <w:u w:val="none"/>
              </w:rPr>
            </w:pPr>
          </w:p>
        </w:tc>
        <w:tc>
          <w:tcPr>
            <w:tcW w:w="11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sz w:val="20"/>
                <w:szCs w:val="20"/>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sz w:val="20"/>
                <w:szCs w:val="20"/>
                <w:u w:val="none"/>
              </w:rPr>
            </w:pPr>
          </w:p>
        </w:tc>
        <w:tc>
          <w:tcPr>
            <w:tcW w:w="2344" w:type="dxa"/>
            <w:gridSpan w:val="3"/>
            <w:vMerge w:val="continue"/>
            <w:tcBorders>
              <w:top w:val="single" w:color="000000" w:sz="4" w:space="0"/>
              <w:left w:val="nil"/>
              <w:bottom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374" w:hRule="atLeast"/>
        </w:trPr>
        <w:tc>
          <w:tcPr>
            <w:tcW w:w="397" w:type="dxa"/>
            <w:vMerge w:val="restar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绩效指标</w:t>
            </w:r>
          </w:p>
        </w:tc>
        <w:tc>
          <w:tcPr>
            <w:tcW w:w="578"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产出指标</w:t>
            </w:r>
          </w:p>
        </w:tc>
        <w:tc>
          <w:tcPr>
            <w:tcW w:w="1052"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数量指标</w:t>
            </w:r>
          </w:p>
        </w:tc>
        <w:tc>
          <w:tcPr>
            <w:tcW w:w="174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交易总额 </w:t>
            </w:r>
          </w:p>
        </w:tc>
        <w:tc>
          <w:tcPr>
            <w:tcW w:w="90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180</w:t>
            </w:r>
          </w:p>
        </w:tc>
        <w:tc>
          <w:tcPr>
            <w:tcW w:w="1152"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196.97</w:t>
            </w:r>
          </w:p>
        </w:tc>
        <w:tc>
          <w:tcPr>
            <w:tcW w:w="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10</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10</w:t>
            </w:r>
          </w:p>
        </w:tc>
        <w:tc>
          <w:tcPr>
            <w:tcW w:w="2344" w:type="dxa"/>
            <w:gridSpan w:val="3"/>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374" w:hRule="atLeast"/>
        </w:trPr>
        <w:tc>
          <w:tcPr>
            <w:tcW w:w="397" w:type="dxa"/>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0"/>
                <w:szCs w:val="20"/>
                <w:u w:val="none"/>
              </w:rPr>
            </w:pPr>
          </w:p>
        </w:tc>
        <w:tc>
          <w:tcPr>
            <w:tcW w:w="57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52"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74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完成交易项目 </w:t>
            </w:r>
          </w:p>
        </w:tc>
        <w:tc>
          <w:tcPr>
            <w:tcW w:w="90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2000</w:t>
            </w:r>
          </w:p>
        </w:tc>
        <w:tc>
          <w:tcPr>
            <w:tcW w:w="1152"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2161</w:t>
            </w:r>
          </w:p>
        </w:tc>
        <w:tc>
          <w:tcPr>
            <w:tcW w:w="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10</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10</w:t>
            </w:r>
          </w:p>
        </w:tc>
        <w:tc>
          <w:tcPr>
            <w:tcW w:w="2344" w:type="dxa"/>
            <w:gridSpan w:val="3"/>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696" w:hRule="atLeast"/>
        </w:trPr>
        <w:tc>
          <w:tcPr>
            <w:tcW w:w="397" w:type="dxa"/>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0"/>
                <w:szCs w:val="20"/>
                <w:u w:val="none"/>
              </w:rPr>
            </w:pPr>
          </w:p>
        </w:tc>
        <w:tc>
          <w:tcPr>
            <w:tcW w:w="57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52"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质量指标</w:t>
            </w:r>
          </w:p>
        </w:tc>
        <w:tc>
          <w:tcPr>
            <w:tcW w:w="174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年度履职目标相关性 </w:t>
            </w:r>
          </w:p>
        </w:tc>
        <w:tc>
          <w:tcPr>
            <w:tcW w:w="90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相关</w:t>
            </w:r>
          </w:p>
        </w:tc>
        <w:tc>
          <w:tcPr>
            <w:tcW w:w="1152"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相关</w:t>
            </w:r>
          </w:p>
        </w:tc>
        <w:tc>
          <w:tcPr>
            <w:tcW w:w="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8</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8</w:t>
            </w:r>
          </w:p>
        </w:tc>
        <w:tc>
          <w:tcPr>
            <w:tcW w:w="2344" w:type="dxa"/>
            <w:gridSpan w:val="3"/>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374" w:hRule="atLeast"/>
        </w:trPr>
        <w:tc>
          <w:tcPr>
            <w:tcW w:w="397" w:type="dxa"/>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0"/>
                <w:szCs w:val="20"/>
                <w:u w:val="none"/>
              </w:rPr>
            </w:pPr>
          </w:p>
        </w:tc>
        <w:tc>
          <w:tcPr>
            <w:tcW w:w="57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52"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74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工作任务科学性 </w:t>
            </w:r>
          </w:p>
        </w:tc>
        <w:tc>
          <w:tcPr>
            <w:tcW w:w="90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科学</w:t>
            </w:r>
          </w:p>
        </w:tc>
        <w:tc>
          <w:tcPr>
            <w:tcW w:w="1152"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科学</w:t>
            </w:r>
          </w:p>
        </w:tc>
        <w:tc>
          <w:tcPr>
            <w:tcW w:w="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7</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7</w:t>
            </w:r>
          </w:p>
        </w:tc>
        <w:tc>
          <w:tcPr>
            <w:tcW w:w="2344" w:type="dxa"/>
            <w:gridSpan w:val="3"/>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696" w:hRule="atLeast"/>
        </w:trPr>
        <w:tc>
          <w:tcPr>
            <w:tcW w:w="397" w:type="dxa"/>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0"/>
                <w:szCs w:val="20"/>
                <w:u w:val="none"/>
              </w:rPr>
            </w:pPr>
          </w:p>
        </w:tc>
        <w:tc>
          <w:tcPr>
            <w:tcW w:w="57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时效指标</w:t>
            </w:r>
          </w:p>
        </w:tc>
        <w:tc>
          <w:tcPr>
            <w:tcW w:w="174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预决算信息公开性 </w:t>
            </w:r>
          </w:p>
        </w:tc>
        <w:tc>
          <w:tcPr>
            <w:tcW w:w="90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公开</w:t>
            </w:r>
          </w:p>
        </w:tc>
        <w:tc>
          <w:tcPr>
            <w:tcW w:w="1152"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 xml:space="preserve">  公开</w:t>
            </w:r>
          </w:p>
        </w:tc>
        <w:tc>
          <w:tcPr>
            <w:tcW w:w="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c>
          <w:tcPr>
            <w:tcW w:w="2344" w:type="dxa"/>
            <w:gridSpan w:val="3"/>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696" w:hRule="atLeast"/>
        </w:trPr>
        <w:tc>
          <w:tcPr>
            <w:tcW w:w="397" w:type="dxa"/>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0"/>
                <w:szCs w:val="20"/>
                <w:u w:val="none"/>
              </w:rPr>
            </w:pPr>
          </w:p>
        </w:tc>
        <w:tc>
          <w:tcPr>
            <w:tcW w:w="578"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效益指标</w:t>
            </w: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经济效益指标</w:t>
            </w:r>
          </w:p>
        </w:tc>
        <w:tc>
          <w:tcPr>
            <w:tcW w:w="174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交易服务费 </w:t>
            </w:r>
          </w:p>
        </w:tc>
        <w:tc>
          <w:tcPr>
            <w:tcW w:w="90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2200</w:t>
            </w:r>
          </w:p>
        </w:tc>
        <w:tc>
          <w:tcPr>
            <w:tcW w:w="1152"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2271</w:t>
            </w:r>
          </w:p>
        </w:tc>
        <w:tc>
          <w:tcPr>
            <w:tcW w:w="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10</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w:t>
            </w:r>
            <w:r>
              <w:rPr>
                <w:rFonts w:hint="eastAsia" w:ascii="仿宋_GB2312" w:hAnsi="宋体" w:eastAsia="仿宋_GB2312" w:cs="仿宋_GB2312"/>
                <w:i w:val="0"/>
                <w:color w:val="000000"/>
                <w:kern w:val="0"/>
                <w:sz w:val="20"/>
                <w:szCs w:val="20"/>
                <w:u w:val="none"/>
                <w:lang w:val="en-US" w:eastAsia="zh-CN" w:bidi="ar"/>
              </w:rPr>
              <w:t>0</w:t>
            </w:r>
          </w:p>
        </w:tc>
        <w:tc>
          <w:tcPr>
            <w:tcW w:w="2344" w:type="dxa"/>
            <w:gridSpan w:val="3"/>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673" w:hRule="atLeast"/>
        </w:trPr>
        <w:tc>
          <w:tcPr>
            <w:tcW w:w="397" w:type="dxa"/>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0"/>
                <w:szCs w:val="20"/>
                <w:u w:val="none"/>
              </w:rPr>
            </w:pPr>
          </w:p>
        </w:tc>
        <w:tc>
          <w:tcPr>
            <w:tcW w:w="57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社会效益指标</w:t>
            </w:r>
          </w:p>
        </w:tc>
        <w:tc>
          <w:tcPr>
            <w:tcW w:w="174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国有资产增值 </w:t>
            </w:r>
          </w:p>
        </w:tc>
        <w:tc>
          <w:tcPr>
            <w:tcW w:w="90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合规</w:t>
            </w:r>
          </w:p>
        </w:tc>
        <w:tc>
          <w:tcPr>
            <w:tcW w:w="1152"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合规</w:t>
            </w:r>
          </w:p>
        </w:tc>
        <w:tc>
          <w:tcPr>
            <w:tcW w:w="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10</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10</w:t>
            </w:r>
          </w:p>
        </w:tc>
        <w:tc>
          <w:tcPr>
            <w:tcW w:w="2344" w:type="dxa"/>
            <w:gridSpan w:val="3"/>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696" w:hRule="atLeast"/>
        </w:trPr>
        <w:tc>
          <w:tcPr>
            <w:tcW w:w="397" w:type="dxa"/>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0"/>
                <w:szCs w:val="20"/>
                <w:u w:val="none"/>
              </w:rPr>
            </w:pPr>
          </w:p>
        </w:tc>
        <w:tc>
          <w:tcPr>
            <w:tcW w:w="57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生态效益指标</w:t>
            </w:r>
          </w:p>
        </w:tc>
        <w:tc>
          <w:tcPr>
            <w:tcW w:w="174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争创文明城市、卫生城市 </w:t>
            </w:r>
          </w:p>
        </w:tc>
        <w:tc>
          <w:tcPr>
            <w:tcW w:w="90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文明、卫生</w:t>
            </w:r>
          </w:p>
        </w:tc>
        <w:tc>
          <w:tcPr>
            <w:tcW w:w="1152"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文明、卫生</w:t>
            </w:r>
          </w:p>
        </w:tc>
        <w:tc>
          <w:tcPr>
            <w:tcW w:w="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c>
          <w:tcPr>
            <w:tcW w:w="2344" w:type="dxa"/>
            <w:gridSpan w:val="3"/>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696" w:hRule="atLeast"/>
        </w:trPr>
        <w:tc>
          <w:tcPr>
            <w:tcW w:w="397" w:type="dxa"/>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0"/>
                <w:szCs w:val="20"/>
                <w:u w:val="none"/>
              </w:rPr>
            </w:pPr>
          </w:p>
        </w:tc>
        <w:tc>
          <w:tcPr>
            <w:tcW w:w="57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可持续影响指标</w:t>
            </w:r>
          </w:p>
        </w:tc>
        <w:tc>
          <w:tcPr>
            <w:tcW w:w="174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软件系统建设使用期限 </w:t>
            </w:r>
          </w:p>
        </w:tc>
        <w:tc>
          <w:tcPr>
            <w:tcW w:w="90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c>
          <w:tcPr>
            <w:tcW w:w="1152"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 xml:space="preserve">  5</w:t>
            </w:r>
          </w:p>
        </w:tc>
        <w:tc>
          <w:tcPr>
            <w:tcW w:w="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c>
          <w:tcPr>
            <w:tcW w:w="2344" w:type="dxa"/>
            <w:gridSpan w:val="3"/>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1017" w:hRule="atLeast"/>
        </w:trPr>
        <w:tc>
          <w:tcPr>
            <w:tcW w:w="397" w:type="dxa"/>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0"/>
                <w:szCs w:val="20"/>
                <w:u w:val="none"/>
              </w:rPr>
            </w:pPr>
          </w:p>
        </w:tc>
        <w:tc>
          <w:tcPr>
            <w:tcW w:w="57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满意度指标</w:t>
            </w: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服务对象满意度指标</w:t>
            </w:r>
          </w:p>
        </w:tc>
        <w:tc>
          <w:tcPr>
            <w:tcW w:w="174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各类交易主体满意度 </w:t>
            </w:r>
          </w:p>
        </w:tc>
        <w:tc>
          <w:tcPr>
            <w:tcW w:w="90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90</w:t>
            </w:r>
          </w:p>
        </w:tc>
        <w:tc>
          <w:tcPr>
            <w:tcW w:w="1152"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90</w:t>
            </w:r>
          </w:p>
        </w:tc>
        <w:tc>
          <w:tcPr>
            <w:tcW w:w="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10</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10</w:t>
            </w:r>
          </w:p>
        </w:tc>
        <w:tc>
          <w:tcPr>
            <w:tcW w:w="2344" w:type="dxa"/>
            <w:gridSpan w:val="3"/>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696" w:hRule="atLeast"/>
        </w:trPr>
        <w:tc>
          <w:tcPr>
            <w:tcW w:w="397" w:type="dxa"/>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0"/>
                <w:szCs w:val="20"/>
                <w:u w:val="none"/>
              </w:rPr>
            </w:pPr>
          </w:p>
        </w:tc>
        <w:tc>
          <w:tcPr>
            <w:tcW w:w="578"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成本指标</w:t>
            </w: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经济成本指标</w:t>
            </w:r>
          </w:p>
        </w:tc>
        <w:tc>
          <w:tcPr>
            <w:tcW w:w="174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0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152"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0"/>
                <w:szCs w:val="20"/>
                <w:u w:val="none"/>
              </w:rPr>
            </w:pPr>
          </w:p>
        </w:tc>
        <w:tc>
          <w:tcPr>
            <w:tcW w:w="2344" w:type="dxa"/>
            <w:gridSpan w:val="3"/>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1339" w:hRule="atLeast"/>
        </w:trPr>
        <w:tc>
          <w:tcPr>
            <w:tcW w:w="397" w:type="dxa"/>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0"/>
                <w:szCs w:val="20"/>
                <w:u w:val="none"/>
              </w:rPr>
            </w:pPr>
          </w:p>
        </w:tc>
        <w:tc>
          <w:tcPr>
            <w:tcW w:w="57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社会成本指标</w:t>
            </w:r>
          </w:p>
        </w:tc>
        <w:tc>
          <w:tcPr>
            <w:tcW w:w="174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电子保函费率下调</w:t>
            </w:r>
          </w:p>
        </w:tc>
        <w:tc>
          <w:tcPr>
            <w:tcW w:w="90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保函费率下调至千分之6</w:t>
            </w:r>
          </w:p>
        </w:tc>
        <w:tc>
          <w:tcPr>
            <w:tcW w:w="1152"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保函费率下调至千分之6</w:t>
            </w:r>
          </w:p>
        </w:tc>
        <w:tc>
          <w:tcPr>
            <w:tcW w:w="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10</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10</w:t>
            </w:r>
          </w:p>
        </w:tc>
        <w:tc>
          <w:tcPr>
            <w:tcW w:w="2344" w:type="dxa"/>
            <w:gridSpan w:val="3"/>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716" w:hRule="atLeast"/>
        </w:trPr>
        <w:tc>
          <w:tcPr>
            <w:tcW w:w="397" w:type="dxa"/>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0"/>
                <w:szCs w:val="20"/>
                <w:u w:val="none"/>
              </w:rPr>
            </w:pPr>
          </w:p>
        </w:tc>
        <w:tc>
          <w:tcPr>
            <w:tcW w:w="57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生态环境成本指标</w:t>
            </w:r>
          </w:p>
        </w:tc>
        <w:tc>
          <w:tcPr>
            <w:tcW w:w="1749" w:type="dxa"/>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01" w:type="dxa"/>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152" w:type="dxa"/>
            <w:gridSpan w:val="2"/>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0"/>
                <w:szCs w:val="20"/>
                <w:u w:val="none"/>
              </w:rPr>
            </w:pPr>
          </w:p>
        </w:tc>
        <w:tc>
          <w:tcPr>
            <w:tcW w:w="2344" w:type="dxa"/>
            <w:gridSpan w:val="3"/>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716" w:hRule="atLeast"/>
        </w:trPr>
        <w:tc>
          <w:tcPr>
            <w:tcW w:w="5829" w:type="dxa"/>
            <w:gridSpan w:val="7"/>
            <w:tcBorders>
              <w:top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lang w:eastAsia="zh-CN"/>
              </w:rPr>
            </w:pPr>
            <w:r>
              <w:rPr>
                <w:rFonts w:hint="eastAsia" w:ascii="仿宋_GB2312" w:hAnsi="宋体" w:eastAsia="仿宋_GB2312" w:cs="仿宋_GB2312"/>
                <w:i w:val="0"/>
                <w:color w:val="000000"/>
                <w:sz w:val="20"/>
                <w:szCs w:val="20"/>
                <w:u w:val="none"/>
                <w:lang w:eastAsia="zh-CN"/>
              </w:rPr>
              <w:t>总分</w:t>
            </w:r>
          </w:p>
        </w:tc>
        <w:tc>
          <w:tcPr>
            <w:tcW w:w="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lang w:val="en-US" w:eastAsia="zh-CN"/>
              </w:rPr>
            </w:pPr>
            <w:r>
              <w:rPr>
                <w:rFonts w:hint="eastAsia" w:ascii="仿宋_GB2312" w:hAnsi="宋体" w:eastAsia="仿宋_GB2312" w:cs="仿宋_GB2312"/>
                <w:i w:val="0"/>
                <w:color w:val="000000"/>
                <w:sz w:val="20"/>
                <w:szCs w:val="20"/>
                <w:u w:val="none"/>
                <w:lang w:val="en-US" w:eastAsia="zh-CN"/>
              </w:rPr>
              <w:t>100</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0"/>
                <w:szCs w:val="20"/>
                <w:u w:val="none"/>
                <w:lang w:val="en-US" w:eastAsia="zh-CN"/>
              </w:rPr>
            </w:pPr>
            <w:r>
              <w:rPr>
                <w:rFonts w:hint="eastAsia" w:ascii="仿宋_GB2312" w:hAnsi="宋体" w:eastAsia="仿宋_GB2312" w:cs="仿宋_GB2312"/>
                <w:i w:val="0"/>
                <w:color w:val="000000"/>
                <w:sz w:val="20"/>
                <w:szCs w:val="20"/>
                <w:u w:val="none"/>
                <w:lang w:val="en-US" w:eastAsia="zh-CN"/>
              </w:rPr>
              <w:t>100</w:t>
            </w:r>
          </w:p>
        </w:tc>
        <w:tc>
          <w:tcPr>
            <w:tcW w:w="2344" w:type="dxa"/>
            <w:gridSpan w:val="3"/>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rPr>
          <w:rFonts w:hint="eastAsia" w:ascii="仿宋" w:hAnsi="仿宋" w:eastAsia="仿宋" w:cs="宋体"/>
          <w:color w:val="000000" w:themeColor="text1"/>
          <w:kern w:val="0"/>
          <w:sz w:val="30"/>
          <w:szCs w:val="30"/>
          <w14:textFill>
            <w14:solidFill>
              <w14:schemeClr w14:val="tx1"/>
            </w14:solidFill>
          </w14:textFill>
        </w:rPr>
      </w:pPr>
      <w:r>
        <w:rPr>
          <w:rFonts w:ascii="Times New Roman" w:hAnsi="Times New Roman" w:eastAsia="仿宋_GB2312" w:cs="Times New Roman"/>
          <w:kern w:val="0"/>
          <w:sz w:val="21"/>
          <w:szCs w:val="21"/>
        </w:rPr>
        <w:t>填表人：        填报日期：          联系电话：            单位负责人签字：</w:t>
      </w:r>
    </w:p>
    <w:p>
      <w:pPr>
        <w:pStyle w:val="8"/>
        <w:spacing w:line="530" w:lineRule="exact"/>
        <w:ind w:firstLine="0" w:firstLineChars="0"/>
        <w:rPr>
          <w:rFonts w:cs="宋体" w:asciiTheme="minorEastAsia" w:hAnsiTheme="minorEastAsia"/>
          <w:color w:val="000000"/>
          <w:kern w:val="0"/>
          <w:szCs w:val="21"/>
        </w:rPr>
      </w:pPr>
    </w:p>
    <w:p>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lang w:eastAsia="zh-CN"/>
        </w:rPr>
        <w:t>2023</w:t>
      </w:r>
      <w:r>
        <w:rPr>
          <w:rFonts w:ascii="Times New Roman" w:hAnsi="Times New Roman" w:eastAsia="方正小标宋_GBK" w:cs="Times New Roman"/>
          <w:color w:val="000000"/>
          <w:kern w:val="0"/>
          <w:sz w:val="36"/>
          <w:szCs w:val="36"/>
        </w:rPr>
        <w:t>年度</w:t>
      </w:r>
      <w:r>
        <w:rPr>
          <w:rFonts w:hint="eastAsia" w:ascii="Times New Roman" w:hAnsi="Times New Roman" w:eastAsia="方正小标宋_GBK" w:cs="Times New Roman"/>
          <w:color w:val="000000"/>
          <w:kern w:val="0"/>
          <w:sz w:val="36"/>
          <w:szCs w:val="36"/>
          <w:lang w:eastAsia="zh-CN"/>
        </w:rPr>
        <w:t>项目</w:t>
      </w:r>
      <w:r>
        <w:rPr>
          <w:rFonts w:ascii="Times New Roman" w:hAnsi="Times New Roman" w:eastAsia="方正小标宋_GBK" w:cs="Times New Roman"/>
          <w:color w:val="000000"/>
          <w:kern w:val="0"/>
          <w:sz w:val="36"/>
          <w:szCs w:val="36"/>
        </w:rPr>
        <w:t>支出绩效自评表</w:t>
      </w:r>
    </w:p>
    <w:p/>
    <w:p/>
    <w:tbl>
      <w:tblPr>
        <w:tblStyle w:val="6"/>
        <w:tblW w:w="8640" w:type="dxa"/>
        <w:tblInd w:w="0" w:type="dxa"/>
        <w:shd w:val="clear" w:color="auto" w:fill="auto"/>
        <w:tblLayout w:type="fixed"/>
        <w:tblCellMar>
          <w:top w:w="0" w:type="dxa"/>
          <w:left w:w="0" w:type="dxa"/>
          <w:bottom w:w="0" w:type="dxa"/>
          <w:right w:w="0" w:type="dxa"/>
        </w:tblCellMar>
      </w:tblPr>
      <w:tblGrid>
        <w:gridCol w:w="1120"/>
        <w:gridCol w:w="823"/>
        <w:gridCol w:w="1066"/>
        <w:gridCol w:w="1079"/>
        <w:gridCol w:w="1009"/>
        <w:gridCol w:w="963"/>
        <w:gridCol w:w="654"/>
        <w:gridCol w:w="848"/>
        <w:gridCol w:w="1078"/>
      </w:tblGrid>
      <w:tr>
        <w:tblPrEx>
          <w:shd w:val="clear" w:color="auto" w:fill="auto"/>
          <w:tblLayout w:type="fixed"/>
          <w:tblCellMar>
            <w:top w:w="0" w:type="dxa"/>
            <w:left w:w="0" w:type="dxa"/>
            <w:bottom w:w="0" w:type="dxa"/>
            <w:right w:w="0" w:type="dxa"/>
          </w:tblCellMar>
        </w:tblPrEx>
        <w:trPr>
          <w:trHeight w:val="312" w:hRule="atLeast"/>
        </w:trPr>
        <w:tc>
          <w:tcPr>
            <w:tcW w:w="11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项目支出名称</w:t>
            </w:r>
          </w:p>
        </w:tc>
        <w:tc>
          <w:tcPr>
            <w:tcW w:w="7520" w:type="dxa"/>
            <w:gridSpan w:val="8"/>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专户经费业务专项</w:t>
            </w:r>
          </w:p>
        </w:tc>
      </w:tr>
      <w:tr>
        <w:tblPrEx>
          <w:tblLayout w:type="fixed"/>
          <w:tblCellMar>
            <w:top w:w="0" w:type="dxa"/>
            <w:left w:w="0" w:type="dxa"/>
            <w:bottom w:w="0" w:type="dxa"/>
            <w:right w:w="0" w:type="dxa"/>
          </w:tblCellMar>
        </w:tblPrEx>
        <w:trPr>
          <w:trHeight w:val="350" w:hRule="atLeast"/>
        </w:trPr>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7520" w:type="dxa"/>
            <w:gridSpan w:val="8"/>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Layout w:type="fixed"/>
          <w:tblCellMar>
            <w:top w:w="0" w:type="dxa"/>
            <w:left w:w="0" w:type="dxa"/>
            <w:bottom w:w="0" w:type="dxa"/>
            <w:right w:w="0" w:type="dxa"/>
          </w:tblCellMar>
        </w:tblPrEx>
        <w:trPr>
          <w:trHeight w:val="247" w:hRule="atLeast"/>
        </w:trPr>
        <w:tc>
          <w:tcPr>
            <w:tcW w:w="11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主管部门</w:t>
            </w:r>
          </w:p>
        </w:tc>
        <w:tc>
          <w:tcPr>
            <w:tcW w:w="3977" w:type="dxa"/>
            <w:gridSpan w:val="4"/>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益阳市公共资源交易中心</w:t>
            </w:r>
          </w:p>
        </w:tc>
        <w:tc>
          <w:tcPr>
            <w:tcW w:w="9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实施单位</w:t>
            </w:r>
          </w:p>
        </w:tc>
        <w:tc>
          <w:tcPr>
            <w:tcW w:w="2580"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益阳市公共资源交易中心</w:t>
            </w:r>
          </w:p>
        </w:tc>
      </w:tr>
      <w:tr>
        <w:tblPrEx>
          <w:tblLayout w:type="fixed"/>
          <w:tblCellMar>
            <w:top w:w="0" w:type="dxa"/>
            <w:left w:w="0" w:type="dxa"/>
            <w:bottom w:w="0" w:type="dxa"/>
            <w:right w:w="0" w:type="dxa"/>
          </w:tblCellMar>
        </w:tblPrEx>
        <w:trPr>
          <w:trHeight w:val="312" w:hRule="atLeast"/>
        </w:trPr>
        <w:tc>
          <w:tcPr>
            <w:tcW w:w="112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项目资金(万元)</w:t>
            </w:r>
          </w:p>
        </w:tc>
        <w:tc>
          <w:tcPr>
            <w:tcW w:w="1889" w:type="dxa"/>
            <w:gridSpan w:val="2"/>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 xml:space="preserve">     资金来源</w:t>
            </w:r>
          </w:p>
        </w:tc>
        <w:tc>
          <w:tcPr>
            <w:tcW w:w="1079" w:type="dxa"/>
            <w:vMerge w:val="restart"/>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年初预算数</w:t>
            </w:r>
          </w:p>
        </w:tc>
        <w:tc>
          <w:tcPr>
            <w:tcW w:w="1009" w:type="dxa"/>
            <w:vMerge w:val="restart"/>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全年预算数</w:t>
            </w:r>
          </w:p>
        </w:tc>
        <w:tc>
          <w:tcPr>
            <w:tcW w:w="963" w:type="dxa"/>
            <w:vMerge w:val="restart"/>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全年执行数</w:t>
            </w:r>
          </w:p>
        </w:tc>
        <w:tc>
          <w:tcPr>
            <w:tcW w:w="65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分值</w:t>
            </w:r>
          </w:p>
        </w:tc>
        <w:tc>
          <w:tcPr>
            <w:tcW w:w="84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执行率</w:t>
            </w:r>
          </w:p>
        </w:tc>
        <w:tc>
          <w:tcPr>
            <w:tcW w:w="107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得分</w:t>
            </w:r>
          </w:p>
        </w:tc>
      </w:tr>
      <w:tr>
        <w:tblPrEx>
          <w:tblLayout w:type="fixed"/>
          <w:tblCellMar>
            <w:top w:w="0" w:type="dxa"/>
            <w:left w:w="0" w:type="dxa"/>
            <w:bottom w:w="0" w:type="dxa"/>
            <w:right w:w="0" w:type="dxa"/>
          </w:tblCellMar>
        </w:tblPrEx>
        <w:trPr>
          <w:trHeight w:val="312" w:hRule="atLeast"/>
        </w:trPr>
        <w:tc>
          <w:tcPr>
            <w:tcW w:w="11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889"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1079" w:type="dxa"/>
            <w:vMerge w:val="continue"/>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1009" w:type="dxa"/>
            <w:vMerge w:val="continue"/>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963"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65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84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107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11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889"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1079" w:type="dxa"/>
            <w:vMerge w:val="continue"/>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1009" w:type="dxa"/>
            <w:vMerge w:val="continue"/>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963"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65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84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107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r>
      <w:tr>
        <w:tblPrEx>
          <w:tblLayout w:type="fixed"/>
          <w:tblCellMar>
            <w:top w:w="0" w:type="dxa"/>
            <w:left w:w="0" w:type="dxa"/>
            <w:bottom w:w="0" w:type="dxa"/>
            <w:right w:w="0" w:type="dxa"/>
          </w:tblCellMar>
        </w:tblPrEx>
        <w:trPr>
          <w:trHeight w:val="247" w:hRule="atLeast"/>
        </w:trPr>
        <w:tc>
          <w:tcPr>
            <w:tcW w:w="11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889"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其中:当年财政拨款</w:t>
            </w:r>
          </w:p>
        </w:tc>
        <w:tc>
          <w:tcPr>
            <w:tcW w:w="1079"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784</w:t>
            </w:r>
          </w:p>
        </w:tc>
        <w:tc>
          <w:tcPr>
            <w:tcW w:w="1009"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642.99</w:t>
            </w:r>
          </w:p>
        </w:tc>
        <w:tc>
          <w:tcPr>
            <w:tcW w:w="963"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642.99</w:t>
            </w:r>
          </w:p>
        </w:tc>
        <w:tc>
          <w:tcPr>
            <w:tcW w:w="6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84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Layout w:type="fixed"/>
          <w:tblCellMar>
            <w:top w:w="0" w:type="dxa"/>
            <w:left w:w="0" w:type="dxa"/>
            <w:bottom w:w="0" w:type="dxa"/>
            <w:right w:w="0" w:type="dxa"/>
          </w:tblCellMar>
        </w:tblPrEx>
        <w:trPr>
          <w:trHeight w:val="247" w:hRule="atLeast"/>
        </w:trPr>
        <w:tc>
          <w:tcPr>
            <w:tcW w:w="11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889"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上年结转金额</w:t>
            </w:r>
          </w:p>
        </w:tc>
        <w:tc>
          <w:tcPr>
            <w:tcW w:w="1079"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1009"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963"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6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84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Layout w:type="fixed"/>
          <w:tblCellMar>
            <w:top w:w="0" w:type="dxa"/>
            <w:left w:w="0" w:type="dxa"/>
            <w:bottom w:w="0" w:type="dxa"/>
            <w:right w:w="0" w:type="dxa"/>
          </w:tblCellMar>
        </w:tblPrEx>
        <w:trPr>
          <w:trHeight w:val="247" w:hRule="atLeast"/>
        </w:trPr>
        <w:tc>
          <w:tcPr>
            <w:tcW w:w="11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889"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其它资金</w:t>
            </w:r>
          </w:p>
        </w:tc>
        <w:tc>
          <w:tcPr>
            <w:tcW w:w="1079"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1009"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963"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6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84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Layout w:type="fixed"/>
          <w:tblCellMar>
            <w:top w:w="0" w:type="dxa"/>
            <w:left w:w="0" w:type="dxa"/>
            <w:bottom w:w="0" w:type="dxa"/>
            <w:right w:w="0" w:type="dxa"/>
          </w:tblCellMar>
        </w:tblPrEx>
        <w:trPr>
          <w:trHeight w:val="247" w:hRule="atLeast"/>
        </w:trPr>
        <w:tc>
          <w:tcPr>
            <w:tcW w:w="11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889"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年度资金总额</w:t>
            </w:r>
          </w:p>
        </w:tc>
        <w:tc>
          <w:tcPr>
            <w:tcW w:w="1079"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784</w:t>
            </w:r>
          </w:p>
        </w:tc>
        <w:tc>
          <w:tcPr>
            <w:tcW w:w="1009"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642.99</w:t>
            </w:r>
          </w:p>
        </w:tc>
        <w:tc>
          <w:tcPr>
            <w:tcW w:w="963"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642.99</w:t>
            </w:r>
          </w:p>
        </w:tc>
        <w:tc>
          <w:tcPr>
            <w:tcW w:w="6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w:t>
            </w:r>
          </w:p>
        </w:tc>
        <w:tc>
          <w:tcPr>
            <w:tcW w:w="84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100.00%</w:t>
            </w:r>
          </w:p>
        </w:tc>
        <w:tc>
          <w:tcPr>
            <w:tcW w:w="1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10.00</w:t>
            </w:r>
          </w:p>
        </w:tc>
      </w:tr>
      <w:tr>
        <w:tblPrEx>
          <w:tblLayout w:type="fixed"/>
          <w:tblCellMar>
            <w:top w:w="0" w:type="dxa"/>
            <w:left w:w="0" w:type="dxa"/>
            <w:bottom w:w="0" w:type="dxa"/>
            <w:right w:w="0" w:type="dxa"/>
          </w:tblCellMar>
        </w:tblPrEx>
        <w:trPr>
          <w:trHeight w:val="247" w:hRule="atLeast"/>
        </w:trPr>
        <w:tc>
          <w:tcPr>
            <w:tcW w:w="112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年度总体目标</w:t>
            </w:r>
          </w:p>
        </w:tc>
        <w:tc>
          <w:tcPr>
            <w:tcW w:w="3977" w:type="dxa"/>
            <w:gridSpan w:val="4"/>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预期目标</w:t>
            </w:r>
          </w:p>
        </w:tc>
        <w:tc>
          <w:tcPr>
            <w:tcW w:w="3543" w:type="dxa"/>
            <w:gridSpan w:val="4"/>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实际完成情况　</w:t>
            </w:r>
          </w:p>
        </w:tc>
      </w:tr>
      <w:tr>
        <w:tblPrEx>
          <w:tblLayout w:type="fixed"/>
          <w:tblCellMar>
            <w:top w:w="0" w:type="dxa"/>
            <w:left w:w="0" w:type="dxa"/>
            <w:bottom w:w="0" w:type="dxa"/>
            <w:right w:w="0" w:type="dxa"/>
          </w:tblCellMar>
        </w:tblPrEx>
        <w:trPr>
          <w:trHeight w:val="312" w:hRule="atLeast"/>
        </w:trPr>
        <w:tc>
          <w:tcPr>
            <w:tcW w:w="11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977" w:type="dxa"/>
            <w:gridSpan w:val="4"/>
            <w:vMerge w:val="restart"/>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负责公共资源交易平台及信息网络系统建设、运行、管理，依法依规为进入公共资源交易平台的各类公共资源交易活动提供场所、设施和服务；为电子交易和监管系统提供对接服务。负责收集、存储和发布各类公共资源交易信息，为市场主体提供信息咨询服务，记录、整理、保存交易过程相关资料。为行业监管、行政监察提供平台服务，协助行政监督部门、纪检监察机关的执法工作；对参与平台内交易活动的相关人员、机构的活动进行评估；记录、留存违反交易现场管理制度行为的证据资料，及时报告交易活动中的违规违纪行为。受委托实施纳入政府集中采购目录内的政府采购项目、由财政拨款的专项政府采购项目、其他委托采购项目。</w:t>
            </w:r>
          </w:p>
        </w:tc>
        <w:tc>
          <w:tcPr>
            <w:tcW w:w="3543" w:type="dxa"/>
            <w:gridSpan w:val="4"/>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负责公共资源交易平台及信息网络系统建设、运行、管理，依法依规为进入公共资源交易平台的各类公共资源交易活动提供场所、设施和服务；为电子交易和监管系统提供对接服务。负责收集、存储和发布各类公共资源交易信息，为市场主体提供信息咨询服务，记录、整理、保存交易过程相关资料。为行业监管、行政监察提供平台服务，协助行政监督部门、纪检监察机关的执法工作；对参与平台内交易活动的相关人员、机构的活动进行评估；记录、留存违反交易现场管理制度行为的证据资料，及时报告交易活动中的违规违纪行为。受委托实施纳入政府集中采购目录内的政府采购项目、由财政拨款的专项政府采购项目、其他委托采购项目。</w:t>
            </w:r>
          </w:p>
        </w:tc>
      </w:tr>
      <w:tr>
        <w:tblPrEx>
          <w:shd w:val="clear" w:color="auto" w:fill="auto"/>
          <w:tblLayout w:type="fixed"/>
          <w:tblCellMar>
            <w:top w:w="0" w:type="dxa"/>
            <w:left w:w="0" w:type="dxa"/>
            <w:bottom w:w="0" w:type="dxa"/>
            <w:right w:w="0" w:type="dxa"/>
          </w:tblCellMar>
        </w:tblPrEx>
        <w:trPr>
          <w:trHeight w:val="312" w:hRule="atLeast"/>
        </w:trPr>
        <w:tc>
          <w:tcPr>
            <w:tcW w:w="11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977" w:type="dxa"/>
            <w:gridSpan w:val="4"/>
            <w:vMerge w:val="continue"/>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543" w:type="dxa"/>
            <w:gridSpan w:val="4"/>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Layout w:type="fixed"/>
          <w:tblCellMar>
            <w:top w:w="0" w:type="dxa"/>
            <w:left w:w="0" w:type="dxa"/>
            <w:bottom w:w="0" w:type="dxa"/>
            <w:right w:w="0" w:type="dxa"/>
          </w:tblCellMar>
        </w:tblPrEx>
        <w:trPr>
          <w:trHeight w:val="3483" w:hRule="atLeast"/>
        </w:trPr>
        <w:tc>
          <w:tcPr>
            <w:tcW w:w="11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977" w:type="dxa"/>
            <w:gridSpan w:val="4"/>
            <w:vMerge w:val="continue"/>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543" w:type="dxa"/>
            <w:gridSpan w:val="4"/>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Layout w:type="fixed"/>
          <w:tblCellMar>
            <w:top w:w="0" w:type="dxa"/>
            <w:left w:w="0" w:type="dxa"/>
            <w:bottom w:w="0" w:type="dxa"/>
            <w:right w:w="0" w:type="dxa"/>
          </w:tblCellMar>
        </w:tblPrEx>
        <w:trPr>
          <w:trHeight w:val="312" w:hRule="atLeast"/>
        </w:trPr>
        <w:tc>
          <w:tcPr>
            <w:tcW w:w="112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绩效指标</w:t>
            </w:r>
          </w:p>
        </w:tc>
        <w:tc>
          <w:tcPr>
            <w:tcW w:w="823"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一级指标</w:t>
            </w:r>
          </w:p>
        </w:tc>
        <w:tc>
          <w:tcPr>
            <w:tcW w:w="106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二级指标</w:t>
            </w:r>
          </w:p>
        </w:tc>
        <w:tc>
          <w:tcPr>
            <w:tcW w:w="107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三级指标</w:t>
            </w:r>
          </w:p>
        </w:tc>
        <w:tc>
          <w:tcPr>
            <w:tcW w:w="1009" w:type="dxa"/>
            <w:vMerge w:val="restart"/>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年度指标值</w:t>
            </w:r>
          </w:p>
        </w:tc>
        <w:tc>
          <w:tcPr>
            <w:tcW w:w="963" w:type="dxa"/>
            <w:vMerge w:val="restart"/>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实际完成值</w:t>
            </w:r>
          </w:p>
        </w:tc>
        <w:tc>
          <w:tcPr>
            <w:tcW w:w="65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分值</w:t>
            </w:r>
          </w:p>
        </w:tc>
        <w:tc>
          <w:tcPr>
            <w:tcW w:w="848"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得分</w:t>
            </w:r>
          </w:p>
        </w:tc>
        <w:tc>
          <w:tcPr>
            <w:tcW w:w="1078"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偏差原因分析及改进措施</w:t>
            </w:r>
          </w:p>
        </w:tc>
      </w:tr>
      <w:tr>
        <w:tblPrEx>
          <w:tblLayout w:type="fixed"/>
          <w:tblCellMar>
            <w:top w:w="0" w:type="dxa"/>
            <w:left w:w="0" w:type="dxa"/>
            <w:bottom w:w="0" w:type="dxa"/>
            <w:right w:w="0" w:type="dxa"/>
          </w:tblCellMar>
        </w:tblPrEx>
        <w:trPr>
          <w:trHeight w:val="312" w:hRule="atLeast"/>
        </w:trPr>
        <w:tc>
          <w:tcPr>
            <w:tcW w:w="11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823"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106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107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1009" w:type="dxa"/>
            <w:vMerge w:val="continue"/>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963" w:type="dxa"/>
            <w:vMerge w:val="continue"/>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6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848"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1078"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r>
      <w:tr>
        <w:tblPrEx>
          <w:tblLayout w:type="fixed"/>
          <w:tblCellMar>
            <w:top w:w="0" w:type="dxa"/>
            <w:left w:w="0" w:type="dxa"/>
            <w:bottom w:w="0" w:type="dxa"/>
            <w:right w:w="0" w:type="dxa"/>
          </w:tblCellMar>
        </w:tblPrEx>
        <w:trPr>
          <w:trHeight w:val="453" w:hRule="atLeast"/>
        </w:trPr>
        <w:tc>
          <w:tcPr>
            <w:tcW w:w="11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823"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106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107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1009" w:type="dxa"/>
            <w:vMerge w:val="continue"/>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963" w:type="dxa"/>
            <w:vMerge w:val="continue"/>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6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848"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1078"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r>
      <w:tr>
        <w:tblPrEx>
          <w:tblLayout w:type="fixed"/>
          <w:tblCellMar>
            <w:top w:w="0" w:type="dxa"/>
            <w:left w:w="0" w:type="dxa"/>
            <w:bottom w:w="0" w:type="dxa"/>
            <w:right w:w="0" w:type="dxa"/>
          </w:tblCellMar>
        </w:tblPrEx>
        <w:trPr>
          <w:trHeight w:val="480" w:hRule="atLeast"/>
        </w:trPr>
        <w:tc>
          <w:tcPr>
            <w:tcW w:w="11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823"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产出指标</w:t>
            </w:r>
          </w:p>
        </w:tc>
        <w:tc>
          <w:tcPr>
            <w:tcW w:w="106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数量指标</w:t>
            </w:r>
          </w:p>
        </w:tc>
        <w:tc>
          <w:tcPr>
            <w:tcW w:w="10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交易总额</w:t>
            </w:r>
          </w:p>
        </w:tc>
        <w:tc>
          <w:tcPr>
            <w:tcW w:w="1009"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大于180亿元</w:t>
            </w:r>
          </w:p>
        </w:tc>
        <w:tc>
          <w:tcPr>
            <w:tcW w:w="963"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196.97亿元</w:t>
            </w:r>
          </w:p>
        </w:tc>
        <w:tc>
          <w:tcPr>
            <w:tcW w:w="6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w:t>
            </w:r>
          </w:p>
        </w:tc>
        <w:tc>
          <w:tcPr>
            <w:tcW w:w="84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10.00</w:t>
            </w:r>
          </w:p>
        </w:tc>
        <w:tc>
          <w:tcPr>
            <w:tcW w:w="1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11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823"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06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0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完成交易项目</w:t>
            </w:r>
          </w:p>
        </w:tc>
        <w:tc>
          <w:tcPr>
            <w:tcW w:w="1009"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大于2000宗</w:t>
            </w:r>
          </w:p>
        </w:tc>
        <w:tc>
          <w:tcPr>
            <w:tcW w:w="963"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2161宗</w:t>
            </w:r>
          </w:p>
        </w:tc>
        <w:tc>
          <w:tcPr>
            <w:tcW w:w="6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w:t>
            </w:r>
          </w:p>
        </w:tc>
        <w:tc>
          <w:tcPr>
            <w:tcW w:w="84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10.00</w:t>
            </w:r>
          </w:p>
        </w:tc>
        <w:tc>
          <w:tcPr>
            <w:tcW w:w="1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11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823"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06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质量指标</w:t>
            </w:r>
          </w:p>
        </w:tc>
        <w:tc>
          <w:tcPr>
            <w:tcW w:w="10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工作任务科学性</w:t>
            </w:r>
          </w:p>
        </w:tc>
        <w:tc>
          <w:tcPr>
            <w:tcW w:w="1009"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科学</w:t>
            </w:r>
          </w:p>
        </w:tc>
        <w:tc>
          <w:tcPr>
            <w:tcW w:w="963"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科学</w:t>
            </w:r>
          </w:p>
        </w:tc>
        <w:tc>
          <w:tcPr>
            <w:tcW w:w="6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w:t>
            </w:r>
          </w:p>
        </w:tc>
        <w:tc>
          <w:tcPr>
            <w:tcW w:w="84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7.00</w:t>
            </w:r>
          </w:p>
        </w:tc>
        <w:tc>
          <w:tcPr>
            <w:tcW w:w="1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11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823"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06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0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年度履职目标相关性</w:t>
            </w:r>
          </w:p>
        </w:tc>
        <w:tc>
          <w:tcPr>
            <w:tcW w:w="1009"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相关</w:t>
            </w:r>
          </w:p>
        </w:tc>
        <w:tc>
          <w:tcPr>
            <w:tcW w:w="963"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相关</w:t>
            </w:r>
          </w:p>
        </w:tc>
        <w:tc>
          <w:tcPr>
            <w:tcW w:w="6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w:t>
            </w:r>
          </w:p>
        </w:tc>
        <w:tc>
          <w:tcPr>
            <w:tcW w:w="84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8.00</w:t>
            </w:r>
          </w:p>
        </w:tc>
        <w:tc>
          <w:tcPr>
            <w:tcW w:w="1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11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823"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0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时效指标</w:t>
            </w:r>
          </w:p>
        </w:tc>
        <w:tc>
          <w:tcPr>
            <w:tcW w:w="10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预决算公开性</w:t>
            </w:r>
          </w:p>
        </w:tc>
        <w:tc>
          <w:tcPr>
            <w:tcW w:w="1009"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及时公开</w:t>
            </w:r>
          </w:p>
        </w:tc>
        <w:tc>
          <w:tcPr>
            <w:tcW w:w="963"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按要求及时公开</w:t>
            </w:r>
          </w:p>
        </w:tc>
        <w:tc>
          <w:tcPr>
            <w:tcW w:w="6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w:t>
            </w:r>
          </w:p>
        </w:tc>
        <w:tc>
          <w:tcPr>
            <w:tcW w:w="84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5.00</w:t>
            </w:r>
          </w:p>
        </w:tc>
        <w:tc>
          <w:tcPr>
            <w:tcW w:w="1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11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823"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效益指标</w:t>
            </w:r>
          </w:p>
        </w:tc>
        <w:tc>
          <w:tcPr>
            <w:tcW w:w="10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经济效益指标</w:t>
            </w:r>
          </w:p>
        </w:tc>
        <w:tc>
          <w:tcPr>
            <w:tcW w:w="10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交易服务费</w:t>
            </w:r>
          </w:p>
        </w:tc>
        <w:tc>
          <w:tcPr>
            <w:tcW w:w="1009"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大于2200万元</w:t>
            </w:r>
          </w:p>
        </w:tc>
        <w:tc>
          <w:tcPr>
            <w:tcW w:w="963"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2271万元</w:t>
            </w:r>
          </w:p>
        </w:tc>
        <w:tc>
          <w:tcPr>
            <w:tcW w:w="6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w:t>
            </w:r>
          </w:p>
        </w:tc>
        <w:tc>
          <w:tcPr>
            <w:tcW w:w="84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w:t>
            </w:r>
          </w:p>
        </w:tc>
        <w:tc>
          <w:tcPr>
            <w:tcW w:w="1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11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823"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0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社会效益指标</w:t>
            </w:r>
          </w:p>
        </w:tc>
        <w:tc>
          <w:tcPr>
            <w:tcW w:w="10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国有资产增值</w:t>
            </w:r>
          </w:p>
        </w:tc>
        <w:tc>
          <w:tcPr>
            <w:tcW w:w="1009"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合规</w:t>
            </w:r>
          </w:p>
        </w:tc>
        <w:tc>
          <w:tcPr>
            <w:tcW w:w="963"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合规</w:t>
            </w:r>
          </w:p>
        </w:tc>
        <w:tc>
          <w:tcPr>
            <w:tcW w:w="6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w:t>
            </w:r>
          </w:p>
        </w:tc>
        <w:tc>
          <w:tcPr>
            <w:tcW w:w="84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10.00</w:t>
            </w:r>
          </w:p>
        </w:tc>
        <w:tc>
          <w:tcPr>
            <w:tcW w:w="1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Layout w:type="fixed"/>
          <w:tblCellMar>
            <w:top w:w="0" w:type="dxa"/>
            <w:left w:w="0" w:type="dxa"/>
            <w:bottom w:w="0" w:type="dxa"/>
            <w:right w:w="0" w:type="dxa"/>
          </w:tblCellMar>
        </w:tblPrEx>
        <w:trPr>
          <w:trHeight w:val="713" w:hRule="atLeast"/>
        </w:trPr>
        <w:tc>
          <w:tcPr>
            <w:tcW w:w="11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823"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0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生态效益指标</w:t>
            </w:r>
          </w:p>
        </w:tc>
        <w:tc>
          <w:tcPr>
            <w:tcW w:w="10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争创文明城市、卫生城市</w:t>
            </w:r>
          </w:p>
        </w:tc>
        <w:tc>
          <w:tcPr>
            <w:tcW w:w="1009"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文明、卫生</w:t>
            </w:r>
          </w:p>
        </w:tc>
        <w:tc>
          <w:tcPr>
            <w:tcW w:w="963"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文明、卫生</w:t>
            </w:r>
          </w:p>
        </w:tc>
        <w:tc>
          <w:tcPr>
            <w:tcW w:w="6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w:t>
            </w:r>
          </w:p>
        </w:tc>
        <w:tc>
          <w:tcPr>
            <w:tcW w:w="84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5.00</w:t>
            </w:r>
          </w:p>
        </w:tc>
        <w:tc>
          <w:tcPr>
            <w:tcW w:w="1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11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823"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0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可持续影响指标</w:t>
            </w:r>
          </w:p>
        </w:tc>
        <w:tc>
          <w:tcPr>
            <w:tcW w:w="10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软件系统建设使用期</w:t>
            </w:r>
          </w:p>
        </w:tc>
        <w:tc>
          <w:tcPr>
            <w:tcW w:w="1009"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大于5年</w:t>
            </w:r>
          </w:p>
        </w:tc>
        <w:tc>
          <w:tcPr>
            <w:tcW w:w="963"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大于5年</w:t>
            </w:r>
          </w:p>
        </w:tc>
        <w:tc>
          <w:tcPr>
            <w:tcW w:w="6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w:t>
            </w:r>
          </w:p>
        </w:tc>
        <w:tc>
          <w:tcPr>
            <w:tcW w:w="84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5.00</w:t>
            </w:r>
          </w:p>
        </w:tc>
        <w:tc>
          <w:tcPr>
            <w:tcW w:w="1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11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82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满意度指标</w:t>
            </w:r>
          </w:p>
        </w:tc>
        <w:tc>
          <w:tcPr>
            <w:tcW w:w="10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服务对象满意度指标</w:t>
            </w:r>
          </w:p>
        </w:tc>
        <w:tc>
          <w:tcPr>
            <w:tcW w:w="10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各类交易主体满意度</w:t>
            </w:r>
          </w:p>
        </w:tc>
        <w:tc>
          <w:tcPr>
            <w:tcW w:w="1009"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大于90%</w:t>
            </w:r>
          </w:p>
        </w:tc>
        <w:tc>
          <w:tcPr>
            <w:tcW w:w="963"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大于90%</w:t>
            </w:r>
          </w:p>
        </w:tc>
        <w:tc>
          <w:tcPr>
            <w:tcW w:w="6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w:t>
            </w:r>
          </w:p>
        </w:tc>
        <w:tc>
          <w:tcPr>
            <w:tcW w:w="84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w:t>
            </w:r>
          </w:p>
        </w:tc>
        <w:tc>
          <w:tcPr>
            <w:tcW w:w="1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11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823"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成本指标</w:t>
            </w:r>
          </w:p>
        </w:tc>
        <w:tc>
          <w:tcPr>
            <w:tcW w:w="10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经济成本指标</w:t>
            </w:r>
          </w:p>
        </w:tc>
        <w:tc>
          <w:tcPr>
            <w:tcW w:w="10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成本控制在预算范围内</w:t>
            </w:r>
          </w:p>
        </w:tc>
        <w:tc>
          <w:tcPr>
            <w:tcW w:w="1009"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784</w:t>
            </w:r>
          </w:p>
        </w:tc>
        <w:tc>
          <w:tcPr>
            <w:tcW w:w="963"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642.99</w:t>
            </w:r>
          </w:p>
        </w:tc>
        <w:tc>
          <w:tcPr>
            <w:tcW w:w="6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w:t>
            </w:r>
          </w:p>
        </w:tc>
        <w:tc>
          <w:tcPr>
            <w:tcW w:w="84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5.00</w:t>
            </w:r>
          </w:p>
        </w:tc>
        <w:tc>
          <w:tcPr>
            <w:tcW w:w="1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11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823"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0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社会成本指标</w:t>
            </w:r>
          </w:p>
        </w:tc>
        <w:tc>
          <w:tcPr>
            <w:tcW w:w="10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降低电子保函费率</w:t>
            </w:r>
          </w:p>
        </w:tc>
        <w:tc>
          <w:tcPr>
            <w:tcW w:w="1009"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降至千分之六</w:t>
            </w:r>
          </w:p>
        </w:tc>
        <w:tc>
          <w:tcPr>
            <w:tcW w:w="963"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降至千分之六</w:t>
            </w:r>
          </w:p>
        </w:tc>
        <w:tc>
          <w:tcPr>
            <w:tcW w:w="6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w:t>
            </w:r>
          </w:p>
        </w:tc>
        <w:tc>
          <w:tcPr>
            <w:tcW w:w="84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5.00</w:t>
            </w:r>
          </w:p>
        </w:tc>
        <w:tc>
          <w:tcPr>
            <w:tcW w:w="1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11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823"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0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生态环境成本指标</w:t>
            </w:r>
          </w:p>
        </w:tc>
        <w:tc>
          <w:tcPr>
            <w:tcW w:w="10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20"/>
                <w:szCs w:val="20"/>
                <w:u w:val="none"/>
              </w:rPr>
            </w:pPr>
          </w:p>
        </w:tc>
        <w:tc>
          <w:tcPr>
            <w:tcW w:w="1009" w:type="dxa"/>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963"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6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84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Layout w:type="fixed"/>
          <w:tblCellMar>
            <w:top w:w="0" w:type="dxa"/>
            <w:left w:w="0" w:type="dxa"/>
            <w:bottom w:w="0" w:type="dxa"/>
            <w:right w:w="0" w:type="dxa"/>
          </w:tblCellMar>
        </w:tblPrEx>
        <w:trPr>
          <w:trHeight w:val="254" w:hRule="atLeast"/>
        </w:trPr>
        <w:tc>
          <w:tcPr>
            <w:tcW w:w="6060" w:type="dxa"/>
            <w:gridSpan w:val="6"/>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总分</w:t>
            </w:r>
          </w:p>
        </w:tc>
        <w:tc>
          <w:tcPr>
            <w:tcW w:w="6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100</w:t>
            </w:r>
          </w:p>
        </w:tc>
        <w:tc>
          <w:tcPr>
            <w:tcW w:w="84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100.00</w:t>
            </w:r>
          </w:p>
        </w:tc>
        <w:tc>
          <w:tcPr>
            <w:tcW w:w="1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bl>
    <w:p>
      <w:pPr>
        <w:rPr>
          <w:rFonts w:hint="eastAsia" w:ascii="仿宋" w:hAnsi="仿宋" w:eastAsia="仿宋" w:cs="宋体"/>
          <w:color w:val="000000" w:themeColor="text1"/>
          <w:kern w:val="0"/>
          <w:sz w:val="30"/>
          <w:szCs w:val="30"/>
          <w14:textFill>
            <w14:solidFill>
              <w14:schemeClr w14:val="tx1"/>
            </w14:solidFill>
          </w14:textFill>
        </w:rPr>
      </w:pPr>
      <w:r>
        <w:rPr>
          <w:rFonts w:ascii="Times New Roman" w:hAnsi="Times New Roman" w:eastAsia="仿宋_GB2312" w:cs="Times New Roman"/>
          <w:kern w:val="0"/>
          <w:sz w:val="21"/>
          <w:szCs w:val="21"/>
        </w:rPr>
        <w:t>填表人：        填报日期：          联系电话：            单位负责人签字：</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Microsoft YaHei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638156"/>
    </w:sdtPr>
    <w:sdtContent>
      <w:p>
        <w:pPr>
          <w:pStyle w:val="3"/>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E2307C"/>
    <w:multiLevelType w:val="singleLevel"/>
    <w:tmpl w:val="EBE2307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33041"/>
    <w:rsid w:val="0CCC4C9A"/>
    <w:rsid w:val="1F833041"/>
    <w:rsid w:val="207670AF"/>
    <w:rsid w:val="22C476F7"/>
    <w:rsid w:val="23561115"/>
    <w:rsid w:val="258B2724"/>
    <w:rsid w:val="28D97327"/>
    <w:rsid w:val="6A045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toc 1"/>
    <w:basedOn w:val="1"/>
    <w:next w:val="1"/>
    <w:qFormat/>
    <w:uiPriority w:val="0"/>
    <w:rPr>
      <w:rFonts w:ascii="Times New Roman" w:hAnsi="Times New Roman" w:eastAsia="宋体" w:cs="Times New Roma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imes New Roman" w:eastAsia="宋体" w:cs="宋体"/>
      <w:kern w:val="0"/>
      <w:sz w:val="24"/>
      <w:szCs w:val="24"/>
      <w:lang w:val="en-US" w:eastAsia="zh-CN" w:bidi="ar"/>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1416</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2024-05-21T02:48:00Z</dcterms:created>
  <dc:creator>Administrator</dc:creator>
  <cp:lastModifiedBy>Administrator</cp:lastModifiedBy>
  <cp:lastPrinted>2024-05-27T03:04:00Z</cp:lastPrinted>
  <dcterms:modified xsi:type="dcterms:W3CDTF">2024-05-29T06:51:15Z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