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eastAsia="仿宋_GB2312"/>
          <w:color w:val="000000"/>
          <w:kern w:val="0"/>
          <w:sz w:val="32"/>
          <w:szCs w:val="32"/>
        </w:rPr>
      </w:pPr>
      <w:r>
        <w:rPr>
          <w:rFonts w:eastAsia="仿宋_GB2312"/>
          <w:color w:val="000000"/>
          <w:kern w:val="0"/>
          <w:sz w:val="32"/>
          <w:szCs w:val="32"/>
        </w:rPr>
        <w:t>附件1</w:t>
      </w:r>
    </w:p>
    <w:p>
      <w:pPr>
        <w:autoSpaceDE w:val="0"/>
        <w:autoSpaceDN w:val="0"/>
        <w:adjustRightInd w:val="0"/>
        <w:jc w:val="center"/>
        <w:rPr>
          <w:color w:val="000000"/>
        </w:rPr>
      </w:pPr>
      <w:r>
        <w:rPr>
          <w:rFonts w:eastAsia="方正小标宋_GBK"/>
          <w:color w:val="000000"/>
          <w:kern w:val="0"/>
          <w:sz w:val="42"/>
          <w:szCs w:val="42"/>
        </w:rPr>
        <w:t>湖南省</w:t>
      </w:r>
      <w:r>
        <w:rPr>
          <w:rFonts w:eastAsia="方正小标宋_GBK"/>
          <w:color w:val="000000"/>
          <w:kern w:val="0"/>
          <w:sz w:val="42"/>
          <w:szCs w:val="42"/>
          <w:lang w:val="en"/>
        </w:rPr>
        <w:t>综合</w:t>
      </w:r>
      <w:r>
        <w:rPr>
          <w:rFonts w:eastAsia="方正小标宋_GBK"/>
          <w:color w:val="000000"/>
          <w:kern w:val="0"/>
          <w:sz w:val="42"/>
          <w:szCs w:val="42"/>
        </w:rPr>
        <w:t>评标专家行为负面清单与考评标准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40"/>
        <w:gridCol w:w="1430"/>
        <w:gridCol w:w="1163"/>
        <w:gridCol w:w="2442"/>
        <w:gridCol w:w="4200"/>
        <w:gridCol w:w="2750"/>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700" w:type="dxa"/>
            <w:noWrap w:val="0"/>
            <w:vAlign w:val="center"/>
          </w:tcPr>
          <w:p>
            <w:pPr>
              <w:widowControl/>
              <w:spacing w:line="320" w:lineRule="exact"/>
              <w:jc w:val="center"/>
              <w:rPr>
                <w:rFonts w:hint="eastAsia" w:ascii="黑体" w:hAnsi="黑体" w:eastAsia="黑体"/>
                <w:color w:val="000000"/>
                <w:kern w:val="0"/>
                <w:szCs w:val="21"/>
              </w:rPr>
            </w:pPr>
            <w:r>
              <w:rPr>
                <w:rFonts w:ascii="黑体" w:hAnsi="黑体" w:eastAsia="黑体"/>
                <w:color w:val="000000"/>
                <w:kern w:val="0"/>
                <w:szCs w:val="21"/>
              </w:rPr>
              <w:t>行为</w:t>
            </w:r>
          </w:p>
          <w:p>
            <w:pPr>
              <w:widowControl/>
              <w:spacing w:line="320" w:lineRule="exact"/>
              <w:jc w:val="center"/>
              <w:rPr>
                <w:rFonts w:ascii="黑体" w:hAnsi="黑体" w:eastAsia="黑体"/>
                <w:color w:val="000000"/>
                <w:kern w:val="0"/>
                <w:szCs w:val="21"/>
              </w:rPr>
            </w:pPr>
            <w:r>
              <w:rPr>
                <w:rFonts w:ascii="黑体" w:hAnsi="黑体" w:eastAsia="黑体"/>
                <w:color w:val="000000"/>
                <w:kern w:val="0"/>
                <w:szCs w:val="21"/>
              </w:rPr>
              <w:t>性质</w:t>
            </w:r>
          </w:p>
        </w:tc>
        <w:tc>
          <w:tcPr>
            <w:tcW w:w="540" w:type="dxa"/>
            <w:noWrap w:val="0"/>
            <w:vAlign w:val="center"/>
          </w:tcPr>
          <w:p>
            <w:pPr>
              <w:widowControl/>
              <w:spacing w:line="320" w:lineRule="exact"/>
              <w:jc w:val="center"/>
              <w:rPr>
                <w:rFonts w:ascii="黑体" w:hAnsi="黑体" w:eastAsia="黑体"/>
                <w:color w:val="000000"/>
                <w:kern w:val="0"/>
                <w:szCs w:val="21"/>
              </w:rPr>
            </w:pPr>
            <w:r>
              <w:rPr>
                <w:rFonts w:ascii="黑体" w:hAnsi="黑体" w:eastAsia="黑体"/>
                <w:color w:val="000000"/>
                <w:kern w:val="0"/>
                <w:szCs w:val="21"/>
              </w:rPr>
              <w:t>序号</w:t>
            </w:r>
          </w:p>
        </w:tc>
        <w:tc>
          <w:tcPr>
            <w:tcW w:w="1430" w:type="dxa"/>
            <w:noWrap w:val="0"/>
            <w:vAlign w:val="center"/>
          </w:tcPr>
          <w:p>
            <w:pPr>
              <w:widowControl/>
              <w:spacing w:line="320" w:lineRule="exact"/>
              <w:jc w:val="center"/>
              <w:rPr>
                <w:rFonts w:ascii="黑体" w:hAnsi="黑体" w:eastAsia="黑体"/>
                <w:color w:val="000000"/>
                <w:kern w:val="0"/>
                <w:szCs w:val="21"/>
              </w:rPr>
            </w:pPr>
            <w:r>
              <w:rPr>
                <w:rFonts w:ascii="黑体" w:hAnsi="黑体" w:eastAsia="黑体"/>
                <w:color w:val="000000"/>
                <w:kern w:val="0"/>
                <w:szCs w:val="21"/>
              </w:rPr>
              <w:t>具体行为</w:t>
            </w:r>
          </w:p>
        </w:tc>
        <w:tc>
          <w:tcPr>
            <w:tcW w:w="1163" w:type="dxa"/>
            <w:noWrap w:val="0"/>
            <w:vAlign w:val="center"/>
          </w:tcPr>
          <w:p>
            <w:pPr>
              <w:widowControl/>
              <w:spacing w:line="320" w:lineRule="exact"/>
              <w:jc w:val="center"/>
              <w:rPr>
                <w:rFonts w:ascii="黑体" w:hAnsi="黑体" w:eastAsia="黑体"/>
                <w:color w:val="000000"/>
                <w:kern w:val="0"/>
                <w:szCs w:val="21"/>
              </w:rPr>
            </w:pPr>
            <w:r>
              <w:rPr>
                <w:rFonts w:ascii="黑体" w:hAnsi="黑体" w:eastAsia="黑体"/>
                <w:color w:val="000000"/>
                <w:kern w:val="0"/>
                <w:szCs w:val="21"/>
              </w:rPr>
              <w:t>监督部门</w:t>
            </w:r>
          </w:p>
        </w:tc>
        <w:tc>
          <w:tcPr>
            <w:tcW w:w="2442" w:type="dxa"/>
            <w:noWrap w:val="0"/>
            <w:vAlign w:val="center"/>
          </w:tcPr>
          <w:p>
            <w:pPr>
              <w:widowControl/>
              <w:spacing w:line="320" w:lineRule="exact"/>
              <w:jc w:val="center"/>
              <w:rPr>
                <w:rFonts w:ascii="黑体" w:hAnsi="黑体" w:eastAsia="黑体"/>
                <w:color w:val="000000"/>
                <w:kern w:val="0"/>
                <w:szCs w:val="21"/>
              </w:rPr>
            </w:pPr>
            <w:r>
              <w:rPr>
                <w:rFonts w:ascii="黑体" w:hAnsi="黑体" w:eastAsia="黑体"/>
                <w:color w:val="000000"/>
                <w:kern w:val="0"/>
                <w:szCs w:val="21"/>
              </w:rPr>
              <w:t>处罚或处理依据</w:t>
            </w:r>
          </w:p>
        </w:tc>
        <w:tc>
          <w:tcPr>
            <w:tcW w:w="4200" w:type="dxa"/>
            <w:noWrap w:val="0"/>
            <w:vAlign w:val="center"/>
          </w:tcPr>
          <w:p>
            <w:pPr>
              <w:widowControl/>
              <w:spacing w:line="320" w:lineRule="exact"/>
              <w:jc w:val="center"/>
              <w:rPr>
                <w:rFonts w:ascii="黑体" w:hAnsi="黑体" w:eastAsia="黑体"/>
                <w:color w:val="000000"/>
                <w:kern w:val="0"/>
                <w:szCs w:val="21"/>
              </w:rPr>
            </w:pPr>
            <w:r>
              <w:rPr>
                <w:rFonts w:ascii="黑体" w:hAnsi="黑体" w:eastAsia="黑体"/>
                <w:color w:val="000000"/>
                <w:kern w:val="0"/>
                <w:szCs w:val="21"/>
              </w:rPr>
              <w:t>处罚或处理措施</w:t>
            </w:r>
          </w:p>
        </w:tc>
        <w:tc>
          <w:tcPr>
            <w:tcW w:w="2750" w:type="dxa"/>
            <w:noWrap w:val="0"/>
            <w:vAlign w:val="center"/>
          </w:tcPr>
          <w:p>
            <w:pPr>
              <w:widowControl/>
              <w:spacing w:line="320" w:lineRule="exact"/>
              <w:jc w:val="center"/>
              <w:rPr>
                <w:rFonts w:ascii="黑体" w:hAnsi="黑体" w:eastAsia="黑体"/>
                <w:color w:val="000000"/>
                <w:kern w:val="0"/>
                <w:szCs w:val="21"/>
              </w:rPr>
            </w:pPr>
            <w:r>
              <w:rPr>
                <w:rFonts w:ascii="黑体" w:hAnsi="黑体" w:eastAsia="黑体"/>
                <w:color w:val="000000"/>
                <w:kern w:val="0"/>
                <w:szCs w:val="21"/>
              </w:rPr>
              <w:t>考评结果</w:t>
            </w:r>
          </w:p>
        </w:tc>
        <w:tc>
          <w:tcPr>
            <w:tcW w:w="1862" w:type="dxa"/>
            <w:noWrap w:val="0"/>
            <w:vAlign w:val="center"/>
          </w:tcPr>
          <w:p>
            <w:pPr>
              <w:widowControl/>
              <w:spacing w:line="320" w:lineRule="exact"/>
              <w:jc w:val="center"/>
              <w:rPr>
                <w:rFonts w:ascii="黑体" w:hAnsi="黑体" w:eastAsia="黑体"/>
                <w:color w:val="000000"/>
                <w:kern w:val="0"/>
                <w:szCs w:val="21"/>
                <w:lang w:val="en"/>
              </w:rPr>
            </w:pPr>
            <w:r>
              <w:rPr>
                <w:rFonts w:ascii="黑体" w:hAnsi="黑体" w:eastAsia="黑体"/>
                <w:color w:val="000000"/>
                <w:kern w:val="0"/>
                <w:szCs w:val="21"/>
                <w:lang w:val="en"/>
              </w:rPr>
              <w:t>惩处运用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3" w:hRule="atLeast"/>
          <w:jc w:val="center"/>
        </w:trPr>
        <w:tc>
          <w:tcPr>
            <w:tcW w:w="700"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Cs w:val="21"/>
              </w:rPr>
            </w:pPr>
            <w:r>
              <w:rPr>
                <w:color w:val="000000"/>
                <w:kern w:val="0"/>
                <w:szCs w:val="21"/>
              </w:rPr>
              <w:t>违法行为</w:t>
            </w:r>
          </w:p>
        </w:tc>
        <w:tc>
          <w:tcPr>
            <w:tcW w:w="540" w:type="dxa"/>
            <w:tcBorders>
              <w:top w:val="nil"/>
              <w:left w:val="nil"/>
              <w:bottom w:val="single" w:color="auto" w:sz="4" w:space="0"/>
              <w:right w:val="single" w:color="auto" w:sz="4" w:space="0"/>
            </w:tcBorders>
            <w:noWrap w:val="0"/>
            <w:vAlign w:val="center"/>
          </w:tcPr>
          <w:p>
            <w:pPr>
              <w:widowControl/>
              <w:spacing w:line="320" w:lineRule="exact"/>
              <w:jc w:val="center"/>
              <w:rPr>
                <w:color w:val="000000"/>
                <w:kern w:val="0"/>
                <w:szCs w:val="21"/>
              </w:rPr>
            </w:pPr>
            <w:r>
              <w:rPr>
                <w:color w:val="000000"/>
                <w:kern w:val="0"/>
                <w:szCs w:val="21"/>
              </w:rPr>
              <w:t>1</w:t>
            </w:r>
          </w:p>
        </w:tc>
        <w:tc>
          <w:tcPr>
            <w:tcW w:w="1430"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应当回避而不回避</w:t>
            </w:r>
          </w:p>
        </w:tc>
        <w:tc>
          <w:tcPr>
            <w:tcW w:w="1163"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招标项目的行政监督部门</w:t>
            </w:r>
          </w:p>
        </w:tc>
        <w:tc>
          <w:tcPr>
            <w:tcW w:w="2442"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《招标投标法》第37条、《招标投标法实施条例》第71条、《评标委员会和评标方法暂行规定》（国家发改委等7部委令12号）第53条</w:t>
            </w:r>
          </w:p>
        </w:tc>
        <w:tc>
          <w:tcPr>
            <w:tcW w:w="4200"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1、违法行为对评标结果未造成实质影响的由行政监督部门责令改正，并给予警告、通报批评</w:t>
            </w:r>
            <w:r>
              <w:rPr>
                <w:color w:val="000000"/>
                <w:kern w:val="0"/>
                <w:szCs w:val="21"/>
              </w:rPr>
              <w:br w:type="textWrapping"/>
            </w:r>
            <w:r>
              <w:rPr>
                <w:color w:val="000000"/>
                <w:kern w:val="0"/>
                <w:szCs w:val="21"/>
              </w:rPr>
              <w:t>2、违法行为对评标结果造成实质影响，情节严重的，暂停评标1年</w:t>
            </w:r>
            <w:r>
              <w:rPr>
                <w:color w:val="000000"/>
                <w:kern w:val="0"/>
                <w:szCs w:val="21"/>
              </w:rPr>
              <w:br w:type="textWrapping"/>
            </w:r>
            <w:r>
              <w:rPr>
                <w:color w:val="000000"/>
                <w:kern w:val="0"/>
                <w:szCs w:val="21"/>
              </w:rPr>
              <w:t>3、违法行为对评标结果造成实质影响，情节特别严重的，取消评标委员会成员资格，并认定为失信行为，终身不再聘为评标专家</w:t>
            </w:r>
          </w:p>
        </w:tc>
        <w:tc>
          <w:tcPr>
            <w:tcW w:w="2750"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1、给予警告处理的，考评认定为基本称职；2、给予通报批评处理的，考评认定为不称职；3、给予暂停评标1年处理的，年度综合考核为不合格；4、取消评标委员会成员资格的，取消年度综合考核资格。</w:t>
            </w:r>
          </w:p>
        </w:tc>
        <w:tc>
          <w:tcPr>
            <w:tcW w:w="1862"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lang w:val="en"/>
              </w:rPr>
            </w:pPr>
            <w:r>
              <w:rPr>
                <w:color w:val="000000"/>
                <w:kern w:val="0"/>
                <w:szCs w:val="21"/>
                <w:lang w:val="en"/>
              </w:rPr>
              <w:t>1、基本称职的</w:t>
            </w:r>
            <w:r>
              <w:rPr>
                <w:color w:val="000000"/>
                <w:kern w:val="0"/>
                <w:szCs w:val="21"/>
              </w:rPr>
              <w:t>3</w:t>
            </w:r>
            <w:r>
              <w:rPr>
                <w:color w:val="000000"/>
                <w:kern w:val="0"/>
                <w:szCs w:val="21"/>
                <w:lang w:val="en"/>
              </w:rPr>
              <w:t>个月内不得被抽取；2、不称职的6个月内不得被抽取；3、不合格的1年内不得被抽取；4、取消资格的不再被抽取。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1"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color w:val="000000"/>
                <w:kern w:val="0"/>
                <w:szCs w:val="21"/>
              </w:rPr>
            </w:pPr>
          </w:p>
        </w:tc>
        <w:tc>
          <w:tcPr>
            <w:tcW w:w="540" w:type="dxa"/>
            <w:tcBorders>
              <w:top w:val="nil"/>
              <w:left w:val="nil"/>
              <w:bottom w:val="single" w:color="auto" w:sz="4" w:space="0"/>
              <w:right w:val="single" w:color="auto" w:sz="4" w:space="0"/>
            </w:tcBorders>
            <w:noWrap w:val="0"/>
            <w:vAlign w:val="center"/>
          </w:tcPr>
          <w:p>
            <w:pPr>
              <w:widowControl/>
              <w:spacing w:line="320" w:lineRule="exact"/>
              <w:jc w:val="center"/>
              <w:rPr>
                <w:color w:val="000000"/>
                <w:kern w:val="0"/>
                <w:szCs w:val="21"/>
              </w:rPr>
            </w:pPr>
            <w:r>
              <w:rPr>
                <w:color w:val="000000"/>
                <w:kern w:val="0"/>
                <w:szCs w:val="21"/>
              </w:rPr>
              <w:t>2</w:t>
            </w:r>
          </w:p>
        </w:tc>
        <w:tc>
          <w:tcPr>
            <w:tcW w:w="1430"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擅离职守</w:t>
            </w:r>
          </w:p>
        </w:tc>
        <w:tc>
          <w:tcPr>
            <w:tcW w:w="1163"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招标项目的行政监督部门</w:t>
            </w:r>
          </w:p>
        </w:tc>
        <w:tc>
          <w:tcPr>
            <w:tcW w:w="2442"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 xml:space="preserve">《招标投标法实施条例》第71条、《评标委员会和评标方法暂行规定》（国家发改委等7部委令12号）第53条 </w:t>
            </w:r>
          </w:p>
        </w:tc>
        <w:tc>
          <w:tcPr>
            <w:tcW w:w="4200"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1、违法行为对评标结果未造成实质影响的由行政监督部门责令改正，并给予警告、通报批评</w:t>
            </w:r>
            <w:r>
              <w:rPr>
                <w:color w:val="000000"/>
                <w:kern w:val="0"/>
                <w:szCs w:val="21"/>
              </w:rPr>
              <w:br w:type="textWrapping"/>
            </w:r>
            <w:r>
              <w:rPr>
                <w:color w:val="000000"/>
                <w:kern w:val="0"/>
                <w:szCs w:val="21"/>
              </w:rPr>
              <w:t>2、违法行为对评标结果造成实质影响，情节严重的，暂停评标1年</w:t>
            </w:r>
            <w:r>
              <w:rPr>
                <w:color w:val="000000"/>
                <w:kern w:val="0"/>
                <w:szCs w:val="21"/>
              </w:rPr>
              <w:br w:type="textWrapping"/>
            </w:r>
            <w:r>
              <w:rPr>
                <w:color w:val="000000"/>
                <w:kern w:val="0"/>
                <w:szCs w:val="21"/>
              </w:rPr>
              <w:t>3、违法行为对评标结果造成实质影响，情节特别严重的，取消评标委员会成员资格，并认定为失信行为，终身不再聘为评标专家</w:t>
            </w:r>
          </w:p>
        </w:tc>
        <w:tc>
          <w:tcPr>
            <w:tcW w:w="2750"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1、给予警告处理的，考评认定为基本称职；2、给予通报批评处理的，考评认定为不称职；3、给予暂停评标1年处理的，年度综合考核为不合格；4、取消评标委员会成员资格的，取消年度综合考核资格。</w:t>
            </w:r>
          </w:p>
        </w:tc>
        <w:tc>
          <w:tcPr>
            <w:tcW w:w="1862"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lang w:val="en"/>
              </w:rPr>
              <w:t>1、基本称职的</w:t>
            </w:r>
            <w:r>
              <w:rPr>
                <w:color w:val="000000"/>
                <w:kern w:val="0"/>
                <w:szCs w:val="21"/>
              </w:rPr>
              <w:t>3</w:t>
            </w:r>
            <w:r>
              <w:rPr>
                <w:color w:val="000000"/>
                <w:kern w:val="0"/>
                <w:szCs w:val="21"/>
                <w:lang w:val="en"/>
              </w:rPr>
              <w:t>个月内不得被抽取；2、不称职的6个月内不得被抽取；3、不合格的1年内不得被抽取；4、取消资格的不再被抽取。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7" w:hRule="atLeast"/>
          <w:jc w:val="center"/>
        </w:trPr>
        <w:tc>
          <w:tcPr>
            <w:tcW w:w="700"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Cs w:val="21"/>
              </w:rPr>
            </w:pPr>
            <w:r>
              <w:rPr>
                <w:color w:val="000000"/>
                <w:kern w:val="0"/>
                <w:szCs w:val="21"/>
              </w:rPr>
              <w:t>违法行为</w:t>
            </w:r>
          </w:p>
        </w:tc>
        <w:tc>
          <w:tcPr>
            <w:tcW w:w="540" w:type="dxa"/>
            <w:tcBorders>
              <w:top w:val="nil"/>
              <w:left w:val="nil"/>
              <w:bottom w:val="single" w:color="auto" w:sz="4" w:space="0"/>
              <w:right w:val="single" w:color="auto" w:sz="4" w:space="0"/>
            </w:tcBorders>
            <w:noWrap w:val="0"/>
            <w:vAlign w:val="center"/>
          </w:tcPr>
          <w:p>
            <w:pPr>
              <w:widowControl/>
              <w:spacing w:line="320" w:lineRule="exact"/>
              <w:jc w:val="center"/>
              <w:rPr>
                <w:color w:val="000000"/>
                <w:kern w:val="0"/>
                <w:szCs w:val="21"/>
              </w:rPr>
            </w:pPr>
            <w:r>
              <w:rPr>
                <w:color w:val="000000"/>
                <w:kern w:val="0"/>
                <w:szCs w:val="21"/>
              </w:rPr>
              <w:t>3</w:t>
            </w:r>
          </w:p>
        </w:tc>
        <w:tc>
          <w:tcPr>
            <w:tcW w:w="1430"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不按照招标文件规定的评标标准和方法评标</w:t>
            </w:r>
          </w:p>
        </w:tc>
        <w:tc>
          <w:tcPr>
            <w:tcW w:w="1163"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招标项目的行政监督部门</w:t>
            </w:r>
          </w:p>
        </w:tc>
        <w:tc>
          <w:tcPr>
            <w:tcW w:w="2442"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《招标投标法》第40条、《招标投标法实施条例》第71条、《评标委员会和评标方法暂行规定》（国家发改委等7部委令12号）第53条</w:t>
            </w:r>
          </w:p>
        </w:tc>
        <w:tc>
          <w:tcPr>
            <w:tcW w:w="4200"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1、违法行为对评标结果未造成实质影响的由行政监督部门责令改正，并给予警告、通报批评</w:t>
            </w:r>
            <w:r>
              <w:rPr>
                <w:color w:val="000000"/>
                <w:kern w:val="0"/>
                <w:szCs w:val="21"/>
              </w:rPr>
              <w:br w:type="textWrapping"/>
            </w:r>
            <w:r>
              <w:rPr>
                <w:color w:val="000000"/>
                <w:kern w:val="0"/>
                <w:szCs w:val="21"/>
              </w:rPr>
              <w:t>2、违法行为对评标结果造成实质影响，情节严重的，暂停评标1年</w:t>
            </w:r>
            <w:r>
              <w:rPr>
                <w:color w:val="000000"/>
                <w:kern w:val="0"/>
                <w:szCs w:val="21"/>
              </w:rPr>
              <w:br w:type="textWrapping"/>
            </w:r>
            <w:r>
              <w:rPr>
                <w:color w:val="000000"/>
                <w:kern w:val="0"/>
                <w:szCs w:val="21"/>
              </w:rPr>
              <w:t>3、违法行为对评标结果造成实质影响，情节特别严重的，取消评标委员会成员资格，并认定为失信行为，终身不再聘为评标专家</w:t>
            </w:r>
          </w:p>
        </w:tc>
        <w:tc>
          <w:tcPr>
            <w:tcW w:w="2750"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1、给予警告处理的，考评认定为基本称职；2、给予通报批评处理的，考评认定为不称职；3、给予暂停评标1年处理的，年度综合考核为不合格；4、取消评标委员会成员资格的，取消年度综合考核资格。</w:t>
            </w:r>
          </w:p>
        </w:tc>
        <w:tc>
          <w:tcPr>
            <w:tcW w:w="1862"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lang w:val="en"/>
              </w:rPr>
              <w:t>1、基本称职的</w:t>
            </w:r>
            <w:r>
              <w:rPr>
                <w:color w:val="000000"/>
                <w:kern w:val="0"/>
                <w:szCs w:val="21"/>
              </w:rPr>
              <w:t>3</w:t>
            </w:r>
            <w:r>
              <w:rPr>
                <w:color w:val="000000"/>
                <w:kern w:val="0"/>
                <w:szCs w:val="21"/>
                <w:lang w:val="en"/>
              </w:rPr>
              <w:t>个月内不得被抽取；2、不称职的6个月内不得被抽取；3、不合格的1年内不得被抽取；4、取消资格的不再被抽取。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1"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color w:val="000000"/>
                <w:kern w:val="0"/>
                <w:szCs w:val="21"/>
              </w:rPr>
            </w:pPr>
          </w:p>
        </w:tc>
        <w:tc>
          <w:tcPr>
            <w:tcW w:w="540" w:type="dxa"/>
            <w:tcBorders>
              <w:top w:val="nil"/>
              <w:left w:val="nil"/>
              <w:bottom w:val="single" w:color="auto" w:sz="4" w:space="0"/>
              <w:right w:val="single" w:color="auto" w:sz="4" w:space="0"/>
            </w:tcBorders>
            <w:noWrap w:val="0"/>
            <w:vAlign w:val="center"/>
          </w:tcPr>
          <w:p>
            <w:pPr>
              <w:widowControl/>
              <w:spacing w:line="320" w:lineRule="exact"/>
              <w:jc w:val="center"/>
              <w:rPr>
                <w:color w:val="000000"/>
                <w:kern w:val="0"/>
                <w:szCs w:val="21"/>
              </w:rPr>
            </w:pPr>
            <w:r>
              <w:rPr>
                <w:color w:val="000000"/>
                <w:kern w:val="0"/>
                <w:szCs w:val="21"/>
              </w:rPr>
              <w:t>4</w:t>
            </w:r>
          </w:p>
        </w:tc>
        <w:tc>
          <w:tcPr>
            <w:tcW w:w="1430"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私下接触投标人或其他利害关系人</w:t>
            </w:r>
          </w:p>
        </w:tc>
        <w:tc>
          <w:tcPr>
            <w:tcW w:w="1163"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招标项目的行政监督部门</w:t>
            </w:r>
          </w:p>
        </w:tc>
        <w:tc>
          <w:tcPr>
            <w:tcW w:w="2442"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《招标投标法》第44条、《招标投标法实施条例》第71条、《评标委员会和评标方法暂行规定》（国家发改委等7部委令12号）第53条</w:t>
            </w:r>
          </w:p>
        </w:tc>
        <w:tc>
          <w:tcPr>
            <w:tcW w:w="4200"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1、违法行为对评标结果未造成实质影响的由行政监督部门责令改正，并给予警告、通报批评</w:t>
            </w:r>
            <w:r>
              <w:rPr>
                <w:color w:val="000000"/>
                <w:kern w:val="0"/>
                <w:szCs w:val="21"/>
              </w:rPr>
              <w:br w:type="textWrapping"/>
            </w:r>
            <w:r>
              <w:rPr>
                <w:color w:val="000000"/>
                <w:kern w:val="0"/>
                <w:szCs w:val="21"/>
              </w:rPr>
              <w:t>2、违法行为对评标结果造成实质影响，情节严重的，暂停评标1年</w:t>
            </w:r>
            <w:r>
              <w:rPr>
                <w:color w:val="000000"/>
                <w:kern w:val="0"/>
                <w:szCs w:val="21"/>
              </w:rPr>
              <w:br w:type="textWrapping"/>
            </w:r>
            <w:r>
              <w:rPr>
                <w:color w:val="000000"/>
                <w:kern w:val="0"/>
                <w:szCs w:val="21"/>
              </w:rPr>
              <w:t>3、违法行为对评标结果造成实质影响，情节特别严重的，取消评标委员会成员资格，并认定为失信行为，终身不再聘为评标专家</w:t>
            </w:r>
          </w:p>
        </w:tc>
        <w:tc>
          <w:tcPr>
            <w:tcW w:w="2750"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1、给予警告处理的，考评认定为基本称职；2、给予通报批评处理的，考评认定为不称职；3、给予暂停评标1年处理的，年度综合考核为不合格；4、取消评标委员会成员资格的，取消年度综合考核资格。</w:t>
            </w:r>
          </w:p>
        </w:tc>
        <w:tc>
          <w:tcPr>
            <w:tcW w:w="1862"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lang w:val="en"/>
              </w:rPr>
              <w:t>1、基本称职的</w:t>
            </w:r>
            <w:r>
              <w:rPr>
                <w:color w:val="000000"/>
                <w:kern w:val="0"/>
                <w:szCs w:val="21"/>
              </w:rPr>
              <w:t>3</w:t>
            </w:r>
            <w:r>
              <w:rPr>
                <w:color w:val="000000"/>
                <w:kern w:val="0"/>
                <w:szCs w:val="21"/>
                <w:lang w:val="en"/>
              </w:rPr>
              <w:t>个月内不得被抽取；2、不称职的6个月内不得被抽取；3、不合格的1年内不得被抽取；4、取消资格的不再被抽取。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4" w:hRule="atLeast"/>
          <w:jc w:val="center"/>
        </w:trPr>
        <w:tc>
          <w:tcPr>
            <w:tcW w:w="700" w:type="dxa"/>
            <w:vMerge w:val="restart"/>
            <w:tcBorders>
              <w:top w:val="nil"/>
              <w:left w:val="single" w:color="auto" w:sz="4" w:space="0"/>
              <w:bottom w:val="single" w:color="auto" w:sz="4" w:space="0"/>
              <w:right w:val="single" w:color="auto" w:sz="4" w:space="0"/>
            </w:tcBorders>
            <w:noWrap w:val="0"/>
            <w:vAlign w:val="center"/>
          </w:tcPr>
          <w:p>
            <w:pPr>
              <w:widowControl/>
              <w:spacing w:line="320" w:lineRule="exact"/>
              <w:jc w:val="center"/>
              <w:rPr>
                <w:color w:val="000000"/>
                <w:kern w:val="0"/>
                <w:szCs w:val="21"/>
              </w:rPr>
            </w:pPr>
            <w:r>
              <w:rPr>
                <w:color w:val="000000"/>
                <w:kern w:val="0"/>
                <w:szCs w:val="21"/>
              </w:rPr>
              <w:t>违法行为</w:t>
            </w:r>
          </w:p>
        </w:tc>
        <w:tc>
          <w:tcPr>
            <w:tcW w:w="540" w:type="dxa"/>
            <w:tcBorders>
              <w:top w:val="nil"/>
              <w:left w:val="nil"/>
              <w:bottom w:val="single" w:color="auto" w:sz="4" w:space="0"/>
              <w:right w:val="single" w:color="auto" w:sz="4" w:space="0"/>
            </w:tcBorders>
            <w:noWrap w:val="0"/>
            <w:vAlign w:val="center"/>
          </w:tcPr>
          <w:p>
            <w:pPr>
              <w:widowControl/>
              <w:spacing w:line="320" w:lineRule="exact"/>
              <w:jc w:val="center"/>
              <w:rPr>
                <w:color w:val="000000"/>
                <w:kern w:val="0"/>
                <w:szCs w:val="21"/>
              </w:rPr>
            </w:pPr>
            <w:r>
              <w:rPr>
                <w:color w:val="000000"/>
                <w:kern w:val="0"/>
                <w:szCs w:val="21"/>
              </w:rPr>
              <w:t>5</w:t>
            </w:r>
          </w:p>
        </w:tc>
        <w:tc>
          <w:tcPr>
            <w:tcW w:w="1430"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向招标人征询确定中标人的意向，接受任何单位和个人明示或者暗示提出的倾向或者排斥特定投标人的要求</w:t>
            </w:r>
          </w:p>
        </w:tc>
        <w:tc>
          <w:tcPr>
            <w:tcW w:w="1163"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招标项目的行政监督部门</w:t>
            </w:r>
          </w:p>
        </w:tc>
        <w:tc>
          <w:tcPr>
            <w:tcW w:w="2442"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《招标投标法实施条例》第71条、《评标委员会和评标方法暂行规定》（国家发改委等7部委令12号）第53条</w:t>
            </w:r>
          </w:p>
        </w:tc>
        <w:tc>
          <w:tcPr>
            <w:tcW w:w="4200"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1、违法行为对评标结果未造成实质影响的由行政监督部门责令改正，并给予警告、通报批评</w:t>
            </w:r>
            <w:r>
              <w:rPr>
                <w:color w:val="000000"/>
                <w:kern w:val="0"/>
                <w:szCs w:val="21"/>
              </w:rPr>
              <w:br w:type="textWrapping"/>
            </w:r>
            <w:r>
              <w:rPr>
                <w:color w:val="000000"/>
                <w:kern w:val="0"/>
                <w:szCs w:val="21"/>
              </w:rPr>
              <w:t>2、违法行为对评标结果造成实质影响，情节严重的，暂停评标1年</w:t>
            </w:r>
            <w:r>
              <w:rPr>
                <w:color w:val="000000"/>
                <w:kern w:val="0"/>
                <w:szCs w:val="21"/>
              </w:rPr>
              <w:br w:type="textWrapping"/>
            </w:r>
            <w:r>
              <w:rPr>
                <w:color w:val="000000"/>
                <w:kern w:val="0"/>
                <w:szCs w:val="21"/>
              </w:rPr>
              <w:t>3、违法行为对评标结果造成实质影响，情节特别严重的，取消评标委员会成员资格，并认定为失信行为，终身不再聘为评标专家</w:t>
            </w:r>
          </w:p>
        </w:tc>
        <w:tc>
          <w:tcPr>
            <w:tcW w:w="2750"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1、给予警告处理的，考评认定为基本称职；2、给予通报批评处理的，考评认定为不称职；3、给予暂停评标1年处理的，年度综合考核为不合格；4、取消评标委员会成员资格的，取消年度综合考核资格。</w:t>
            </w:r>
          </w:p>
        </w:tc>
        <w:tc>
          <w:tcPr>
            <w:tcW w:w="1862"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lang w:val="en"/>
              </w:rPr>
              <w:t>1、基本称职的</w:t>
            </w:r>
            <w:r>
              <w:rPr>
                <w:color w:val="000000"/>
                <w:kern w:val="0"/>
                <w:szCs w:val="21"/>
              </w:rPr>
              <w:t>3</w:t>
            </w:r>
            <w:r>
              <w:rPr>
                <w:color w:val="000000"/>
                <w:kern w:val="0"/>
                <w:szCs w:val="21"/>
                <w:lang w:val="en"/>
              </w:rPr>
              <w:t>个月内不得被抽取；2、不称职的6个月内不得被抽取；3、不合格的1年内不得被抽取；4、取消资格的不再被抽取。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jc w:val="center"/>
        </w:trPr>
        <w:tc>
          <w:tcPr>
            <w:tcW w:w="700" w:type="dxa"/>
            <w:vMerge w:val="continue"/>
            <w:tcBorders>
              <w:top w:val="nil"/>
              <w:left w:val="single" w:color="auto" w:sz="4" w:space="0"/>
              <w:bottom w:val="single" w:color="auto" w:sz="4" w:space="0"/>
              <w:right w:val="single" w:color="auto" w:sz="4" w:space="0"/>
            </w:tcBorders>
            <w:noWrap w:val="0"/>
            <w:vAlign w:val="center"/>
          </w:tcPr>
          <w:p>
            <w:pPr>
              <w:widowControl/>
              <w:spacing w:line="320" w:lineRule="exact"/>
              <w:jc w:val="left"/>
              <w:rPr>
                <w:color w:val="000000"/>
                <w:kern w:val="0"/>
                <w:szCs w:val="21"/>
              </w:rPr>
            </w:pPr>
          </w:p>
        </w:tc>
        <w:tc>
          <w:tcPr>
            <w:tcW w:w="540" w:type="dxa"/>
            <w:tcBorders>
              <w:top w:val="nil"/>
              <w:left w:val="nil"/>
              <w:bottom w:val="single" w:color="auto" w:sz="4" w:space="0"/>
              <w:right w:val="single" w:color="auto" w:sz="4" w:space="0"/>
            </w:tcBorders>
            <w:noWrap w:val="0"/>
            <w:vAlign w:val="center"/>
          </w:tcPr>
          <w:p>
            <w:pPr>
              <w:widowControl/>
              <w:spacing w:line="320" w:lineRule="exact"/>
              <w:jc w:val="center"/>
              <w:rPr>
                <w:color w:val="000000"/>
                <w:kern w:val="0"/>
                <w:szCs w:val="21"/>
              </w:rPr>
            </w:pPr>
            <w:r>
              <w:rPr>
                <w:color w:val="000000"/>
                <w:kern w:val="0"/>
                <w:szCs w:val="21"/>
              </w:rPr>
              <w:t>6</w:t>
            </w:r>
          </w:p>
        </w:tc>
        <w:tc>
          <w:tcPr>
            <w:tcW w:w="1430"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对依法应当否决的投标不提出否决意见</w:t>
            </w:r>
          </w:p>
        </w:tc>
        <w:tc>
          <w:tcPr>
            <w:tcW w:w="1163"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招标项目的行政监督部门</w:t>
            </w:r>
          </w:p>
        </w:tc>
        <w:tc>
          <w:tcPr>
            <w:tcW w:w="2442"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《招标投标法》第42条、《招标投标法实施条例》第71条、《评标委员会和评标方法暂行规定》（国家发改委等7部委令12号）第53条</w:t>
            </w:r>
          </w:p>
        </w:tc>
        <w:tc>
          <w:tcPr>
            <w:tcW w:w="4200"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1、违法行为对评标结果未造成实质影响的由行政监督部门责令改正，并给予警告、通报批评</w:t>
            </w:r>
            <w:r>
              <w:rPr>
                <w:color w:val="000000"/>
                <w:kern w:val="0"/>
                <w:szCs w:val="21"/>
              </w:rPr>
              <w:br w:type="textWrapping"/>
            </w:r>
            <w:r>
              <w:rPr>
                <w:color w:val="000000"/>
                <w:kern w:val="0"/>
                <w:szCs w:val="21"/>
              </w:rPr>
              <w:t>2、违法行为对评标结果造成实质影响，情节严重的，暂停评标1年</w:t>
            </w:r>
            <w:r>
              <w:rPr>
                <w:color w:val="000000"/>
                <w:kern w:val="0"/>
                <w:szCs w:val="21"/>
              </w:rPr>
              <w:br w:type="textWrapping"/>
            </w:r>
            <w:r>
              <w:rPr>
                <w:color w:val="000000"/>
                <w:kern w:val="0"/>
                <w:szCs w:val="21"/>
              </w:rPr>
              <w:t>3、违法行为对评标结果造成实质影响，情节特别严重的，取消评标委员会成员资格，并认定为失信行为，终身不再聘为评标专家</w:t>
            </w:r>
          </w:p>
        </w:tc>
        <w:tc>
          <w:tcPr>
            <w:tcW w:w="2750"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1、给予警告处理的，考评认定为基本称职；2、给予通报批评处理的，考评认定为不称职；3、给予暂停评标1年处理的，年度综合考核为不合格；4、取消评标委员会成员资格的，取消年度综合考核资格。</w:t>
            </w:r>
          </w:p>
        </w:tc>
        <w:tc>
          <w:tcPr>
            <w:tcW w:w="1862"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lang w:val="en"/>
              </w:rPr>
              <w:t>1、基本称职的</w:t>
            </w:r>
            <w:r>
              <w:rPr>
                <w:color w:val="000000"/>
                <w:kern w:val="0"/>
                <w:szCs w:val="21"/>
              </w:rPr>
              <w:t>3</w:t>
            </w:r>
            <w:r>
              <w:rPr>
                <w:color w:val="000000"/>
                <w:kern w:val="0"/>
                <w:szCs w:val="21"/>
                <w:lang w:val="en"/>
              </w:rPr>
              <w:t>个月内不得被抽取；2、不称职的6个月内不得被抽取；3、不合格的1年内不得被抽取；4、取消资格的不再被抽取。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jc w:val="center"/>
        </w:trPr>
        <w:tc>
          <w:tcPr>
            <w:tcW w:w="700" w:type="dxa"/>
            <w:vMerge w:val="restart"/>
            <w:noWrap w:val="0"/>
            <w:vAlign w:val="center"/>
          </w:tcPr>
          <w:p>
            <w:pPr>
              <w:widowControl/>
              <w:spacing w:line="320" w:lineRule="exact"/>
              <w:jc w:val="center"/>
              <w:rPr>
                <w:color w:val="000000"/>
                <w:kern w:val="0"/>
                <w:szCs w:val="21"/>
              </w:rPr>
            </w:pPr>
            <w:r>
              <w:rPr>
                <w:color w:val="000000"/>
                <w:kern w:val="0"/>
                <w:szCs w:val="21"/>
              </w:rPr>
              <w:t>违法行为</w:t>
            </w:r>
          </w:p>
        </w:tc>
        <w:tc>
          <w:tcPr>
            <w:tcW w:w="540" w:type="dxa"/>
            <w:noWrap w:val="0"/>
            <w:vAlign w:val="center"/>
          </w:tcPr>
          <w:p>
            <w:pPr>
              <w:widowControl/>
              <w:spacing w:line="320" w:lineRule="exact"/>
              <w:jc w:val="center"/>
              <w:rPr>
                <w:color w:val="000000"/>
                <w:kern w:val="0"/>
                <w:szCs w:val="21"/>
              </w:rPr>
            </w:pPr>
            <w:r>
              <w:rPr>
                <w:color w:val="000000"/>
                <w:kern w:val="0"/>
                <w:szCs w:val="21"/>
              </w:rPr>
              <w:t>7</w:t>
            </w:r>
          </w:p>
        </w:tc>
        <w:tc>
          <w:tcPr>
            <w:tcW w:w="1430" w:type="dxa"/>
            <w:noWrap w:val="0"/>
            <w:vAlign w:val="center"/>
          </w:tcPr>
          <w:p>
            <w:pPr>
              <w:widowControl/>
              <w:spacing w:line="320" w:lineRule="exact"/>
              <w:rPr>
                <w:color w:val="000000"/>
                <w:kern w:val="0"/>
                <w:szCs w:val="21"/>
              </w:rPr>
            </w:pPr>
            <w:r>
              <w:rPr>
                <w:color w:val="000000"/>
                <w:kern w:val="0"/>
                <w:szCs w:val="21"/>
              </w:rPr>
              <w:t>暗示或者诱导投标人作出澄清、说明或者接受投标人主动提出的澄清、说明</w:t>
            </w:r>
          </w:p>
        </w:tc>
        <w:tc>
          <w:tcPr>
            <w:tcW w:w="1163" w:type="dxa"/>
            <w:noWrap w:val="0"/>
            <w:vAlign w:val="center"/>
          </w:tcPr>
          <w:p>
            <w:pPr>
              <w:widowControl/>
              <w:spacing w:line="320" w:lineRule="exact"/>
              <w:rPr>
                <w:color w:val="000000"/>
                <w:kern w:val="0"/>
                <w:szCs w:val="21"/>
              </w:rPr>
            </w:pPr>
            <w:r>
              <w:rPr>
                <w:color w:val="000000"/>
                <w:kern w:val="0"/>
                <w:szCs w:val="21"/>
              </w:rPr>
              <w:t>招标项目的行政监督部门</w:t>
            </w:r>
          </w:p>
        </w:tc>
        <w:tc>
          <w:tcPr>
            <w:tcW w:w="2442" w:type="dxa"/>
            <w:noWrap w:val="0"/>
            <w:vAlign w:val="center"/>
          </w:tcPr>
          <w:p>
            <w:pPr>
              <w:widowControl/>
              <w:spacing w:line="320" w:lineRule="exact"/>
              <w:rPr>
                <w:color w:val="000000"/>
                <w:kern w:val="0"/>
                <w:szCs w:val="21"/>
              </w:rPr>
            </w:pPr>
            <w:r>
              <w:rPr>
                <w:color w:val="000000"/>
                <w:kern w:val="0"/>
                <w:szCs w:val="21"/>
              </w:rPr>
              <w:t>《招标投标法》第39条、《招标投标法实施条例》第71条、《评标委员会和评标方法暂行规定》（国家发改委等7部委令12号）第53条</w:t>
            </w:r>
          </w:p>
        </w:tc>
        <w:tc>
          <w:tcPr>
            <w:tcW w:w="4200" w:type="dxa"/>
            <w:noWrap w:val="0"/>
            <w:vAlign w:val="center"/>
          </w:tcPr>
          <w:p>
            <w:pPr>
              <w:widowControl/>
              <w:spacing w:line="320" w:lineRule="exact"/>
              <w:rPr>
                <w:color w:val="000000"/>
                <w:kern w:val="0"/>
                <w:szCs w:val="21"/>
              </w:rPr>
            </w:pPr>
            <w:r>
              <w:rPr>
                <w:color w:val="000000"/>
                <w:kern w:val="0"/>
                <w:szCs w:val="21"/>
              </w:rPr>
              <w:t>1、违法行为对评标结果未造成实质影响的由行政监督部门责令改正，并给予警告、通报批评</w:t>
            </w:r>
            <w:r>
              <w:rPr>
                <w:color w:val="000000"/>
                <w:kern w:val="0"/>
                <w:szCs w:val="21"/>
              </w:rPr>
              <w:br w:type="textWrapping"/>
            </w:r>
            <w:r>
              <w:rPr>
                <w:color w:val="000000"/>
                <w:kern w:val="0"/>
                <w:szCs w:val="21"/>
              </w:rPr>
              <w:t>2、违法行为对评标结果造成实质影响，情节严重的，暂停评标1年</w:t>
            </w:r>
            <w:r>
              <w:rPr>
                <w:color w:val="000000"/>
                <w:kern w:val="0"/>
                <w:szCs w:val="21"/>
              </w:rPr>
              <w:br w:type="textWrapping"/>
            </w:r>
            <w:r>
              <w:rPr>
                <w:color w:val="000000"/>
                <w:kern w:val="0"/>
                <w:szCs w:val="21"/>
              </w:rPr>
              <w:t>3、违法行为对评标结果造成实质影响，情节特别严重的，取消评标委员会成员资格，并认定为失信行为，终身不再聘为评标专家</w:t>
            </w:r>
          </w:p>
        </w:tc>
        <w:tc>
          <w:tcPr>
            <w:tcW w:w="2750" w:type="dxa"/>
            <w:noWrap w:val="0"/>
            <w:vAlign w:val="center"/>
          </w:tcPr>
          <w:p>
            <w:pPr>
              <w:widowControl/>
              <w:spacing w:line="320" w:lineRule="exact"/>
              <w:rPr>
                <w:color w:val="000000"/>
                <w:kern w:val="0"/>
                <w:szCs w:val="21"/>
              </w:rPr>
            </w:pPr>
            <w:r>
              <w:rPr>
                <w:color w:val="000000"/>
                <w:kern w:val="0"/>
                <w:szCs w:val="21"/>
              </w:rPr>
              <w:t>1、给予警告处理的，考评认定为基本称职；2、给予通报批评处理的，考评认定为不称职；3、给予暂停评标1年处理的，年度综合考核为不合格；4、取消评标委员会成员资格的，取消年度综合考核资格。</w:t>
            </w:r>
          </w:p>
        </w:tc>
        <w:tc>
          <w:tcPr>
            <w:tcW w:w="1862" w:type="dxa"/>
            <w:noWrap w:val="0"/>
            <w:vAlign w:val="center"/>
          </w:tcPr>
          <w:p>
            <w:pPr>
              <w:widowControl/>
              <w:spacing w:line="320" w:lineRule="exact"/>
              <w:rPr>
                <w:color w:val="000000"/>
                <w:kern w:val="0"/>
                <w:szCs w:val="21"/>
              </w:rPr>
            </w:pPr>
            <w:r>
              <w:rPr>
                <w:color w:val="000000"/>
                <w:kern w:val="0"/>
                <w:szCs w:val="21"/>
                <w:lang w:val="en"/>
              </w:rPr>
              <w:t>1、基本称职的</w:t>
            </w:r>
            <w:r>
              <w:rPr>
                <w:color w:val="000000"/>
                <w:kern w:val="0"/>
                <w:szCs w:val="21"/>
              </w:rPr>
              <w:t>3</w:t>
            </w:r>
            <w:r>
              <w:rPr>
                <w:color w:val="000000"/>
                <w:kern w:val="0"/>
                <w:szCs w:val="21"/>
                <w:lang w:val="en"/>
              </w:rPr>
              <w:t>个月内不得被抽取；2、不称职的6个月内不得被抽取；3、不合格的1年内不得被抽取；4、取消资格的不再被抽取。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700" w:type="dxa"/>
            <w:vMerge w:val="continue"/>
            <w:noWrap w:val="0"/>
            <w:vAlign w:val="center"/>
          </w:tcPr>
          <w:p>
            <w:pPr>
              <w:widowControl/>
              <w:spacing w:line="320" w:lineRule="exact"/>
              <w:jc w:val="left"/>
              <w:rPr>
                <w:color w:val="000000"/>
                <w:kern w:val="0"/>
                <w:szCs w:val="21"/>
              </w:rPr>
            </w:pPr>
          </w:p>
        </w:tc>
        <w:tc>
          <w:tcPr>
            <w:tcW w:w="540" w:type="dxa"/>
            <w:noWrap w:val="0"/>
            <w:vAlign w:val="center"/>
          </w:tcPr>
          <w:p>
            <w:pPr>
              <w:widowControl/>
              <w:spacing w:line="320" w:lineRule="exact"/>
              <w:jc w:val="center"/>
              <w:rPr>
                <w:color w:val="000000"/>
                <w:kern w:val="0"/>
                <w:szCs w:val="21"/>
              </w:rPr>
            </w:pPr>
            <w:r>
              <w:rPr>
                <w:color w:val="000000"/>
                <w:kern w:val="0"/>
                <w:szCs w:val="21"/>
              </w:rPr>
              <w:t>8</w:t>
            </w:r>
          </w:p>
        </w:tc>
        <w:tc>
          <w:tcPr>
            <w:tcW w:w="1430" w:type="dxa"/>
            <w:noWrap w:val="0"/>
            <w:vAlign w:val="center"/>
          </w:tcPr>
          <w:p>
            <w:pPr>
              <w:widowControl/>
              <w:spacing w:line="320" w:lineRule="exact"/>
              <w:rPr>
                <w:color w:val="000000"/>
                <w:kern w:val="0"/>
                <w:szCs w:val="21"/>
              </w:rPr>
            </w:pPr>
            <w:r>
              <w:rPr>
                <w:color w:val="000000"/>
                <w:kern w:val="0"/>
                <w:szCs w:val="21"/>
              </w:rPr>
              <w:t>收受投标人的财物或者其他好处</w:t>
            </w:r>
          </w:p>
        </w:tc>
        <w:tc>
          <w:tcPr>
            <w:tcW w:w="1163" w:type="dxa"/>
            <w:noWrap w:val="0"/>
            <w:vAlign w:val="center"/>
          </w:tcPr>
          <w:p>
            <w:pPr>
              <w:widowControl/>
              <w:spacing w:line="320" w:lineRule="exact"/>
              <w:rPr>
                <w:color w:val="000000"/>
                <w:kern w:val="0"/>
                <w:szCs w:val="21"/>
              </w:rPr>
            </w:pPr>
            <w:r>
              <w:rPr>
                <w:color w:val="000000"/>
                <w:kern w:val="0"/>
                <w:szCs w:val="21"/>
              </w:rPr>
              <w:t>招标项目的行政监督部门</w:t>
            </w:r>
          </w:p>
        </w:tc>
        <w:tc>
          <w:tcPr>
            <w:tcW w:w="2442" w:type="dxa"/>
            <w:noWrap w:val="0"/>
            <w:vAlign w:val="center"/>
          </w:tcPr>
          <w:p>
            <w:pPr>
              <w:widowControl/>
              <w:spacing w:line="320" w:lineRule="exact"/>
              <w:rPr>
                <w:color w:val="000000"/>
                <w:kern w:val="0"/>
                <w:szCs w:val="21"/>
              </w:rPr>
            </w:pPr>
            <w:r>
              <w:rPr>
                <w:color w:val="000000"/>
                <w:kern w:val="0"/>
                <w:szCs w:val="21"/>
              </w:rPr>
              <w:t>《招标投标法》第44条、56条、《招标投标法实施条例》第72条、《评标委员会和评标方法暂行规定》（国家发改委等7部委令12号）第54条</w:t>
            </w:r>
          </w:p>
        </w:tc>
        <w:tc>
          <w:tcPr>
            <w:tcW w:w="4200" w:type="dxa"/>
            <w:noWrap w:val="0"/>
            <w:vAlign w:val="center"/>
          </w:tcPr>
          <w:p>
            <w:pPr>
              <w:widowControl/>
              <w:spacing w:line="320" w:lineRule="exact"/>
              <w:rPr>
                <w:color w:val="000000"/>
                <w:kern w:val="0"/>
                <w:szCs w:val="21"/>
              </w:rPr>
            </w:pPr>
            <w:r>
              <w:rPr>
                <w:color w:val="000000"/>
                <w:kern w:val="0"/>
                <w:szCs w:val="21"/>
              </w:rPr>
              <w:t>1、警告</w:t>
            </w:r>
            <w:r>
              <w:rPr>
                <w:color w:val="000000"/>
                <w:kern w:val="0"/>
                <w:szCs w:val="21"/>
                <w:lang w:val="en"/>
              </w:rPr>
              <w:t>，</w:t>
            </w:r>
            <w:r>
              <w:rPr>
                <w:color w:val="000000"/>
                <w:kern w:val="0"/>
                <w:szCs w:val="21"/>
              </w:rPr>
              <w:t>没收收受的财物</w:t>
            </w:r>
            <w:r>
              <w:rPr>
                <w:color w:val="000000"/>
                <w:kern w:val="0"/>
                <w:szCs w:val="21"/>
                <w:lang w:val="en"/>
              </w:rPr>
              <w:t>，</w:t>
            </w:r>
            <w:r>
              <w:rPr>
                <w:color w:val="000000"/>
                <w:kern w:val="0"/>
                <w:szCs w:val="21"/>
              </w:rPr>
              <w:t>取消评标委员会成员资格</w:t>
            </w:r>
            <w:r>
              <w:rPr>
                <w:color w:val="000000"/>
                <w:kern w:val="0"/>
                <w:szCs w:val="21"/>
                <w:lang w:val="en"/>
              </w:rPr>
              <w:t>，可以并</w:t>
            </w:r>
            <w:r>
              <w:rPr>
                <w:color w:val="000000"/>
                <w:kern w:val="0"/>
                <w:szCs w:val="21"/>
              </w:rPr>
              <w:t>处三千元以上五万元以下的罚款</w:t>
            </w:r>
            <w:r>
              <w:rPr>
                <w:color w:val="000000"/>
                <w:kern w:val="0"/>
                <w:szCs w:val="21"/>
                <w:lang w:val="en"/>
              </w:rPr>
              <w:t xml:space="preserve"> </w:t>
            </w:r>
            <w:r>
              <w:rPr>
                <w:color w:val="000000"/>
                <w:kern w:val="0"/>
                <w:szCs w:val="21"/>
              </w:rPr>
              <w:br w:type="textWrapping"/>
            </w:r>
            <w:r>
              <w:rPr>
                <w:color w:val="000000"/>
                <w:kern w:val="0"/>
                <w:szCs w:val="21"/>
                <w:lang w:val="en"/>
              </w:rPr>
              <w:t>2</w:t>
            </w:r>
            <w:r>
              <w:rPr>
                <w:color w:val="000000"/>
                <w:kern w:val="0"/>
                <w:szCs w:val="21"/>
              </w:rPr>
              <w:t>、认定为失信行为，终身不再聘为评标专家</w:t>
            </w:r>
            <w:r>
              <w:rPr>
                <w:color w:val="000000"/>
                <w:kern w:val="0"/>
                <w:szCs w:val="21"/>
              </w:rPr>
              <w:br w:type="textWrapping"/>
            </w:r>
            <w:r>
              <w:rPr>
                <w:color w:val="000000"/>
                <w:kern w:val="0"/>
                <w:szCs w:val="21"/>
                <w:lang w:val="en"/>
              </w:rPr>
              <w:t>3</w:t>
            </w:r>
            <w:r>
              <w:rPr>
                <w:color w:val="000000"/>
                <w:kern w:val="0"/>
                <w:szCs w:val="21"/>
              </w:rPr>
              <w:t>、构成犯罪的，依法追究刑事责任</w:t>
            </w:r>
          </w:p>
        </w:tc>
        <w:tc>
          <w:tcPr>
            <w:tcW w:w="2750" w:type="dxa"/>
            <w:noWrap w:val="0"/>
            <w:vAlign w:val="center"/>
          </w:tcPr>
          <w:p>
            <w:pPr>
              <w:widowControl/>
              <w:spacing w:line="320" w:lineRule="exact"/>
              <w:rPr>
                <w:color w:val="000000"/>
                <w:kern w:val="0"/>
                <w:szCs w:val="21"/>
              </w:rPr>
            </w:pPr>
            <w:r>
              <w:rPr>
                <w:color w:val="000000"/>
                <w:kern w:val="0"/>
                <w:szCs w:val="21"/>
              </w:rPr>
              <w:t>取消评标委员会成员资格的，取消年度综合考核资格。</w:t>
            </w:r>
          </w:p>
        </w:tc>
        <w:tc>
          <w:tcPr>
            <w:tcW w:w="1862" w:type="dxa"/>
            <w:noWrap w:val="0"/>
            <w:vAlign w:val="center"/>
          </w:tcPr>
          <w:p>
            <w:pPr>
              <w:widowControl/>
              <w:spacing w:line="320" w:lineRule="exact"/>
              <w:rPr>
                <w:color w:val="000000"/>
                <w:kern w:val="0"/>
                <w:szCs w:val="21"/>
              </w:rPr>
            </w:pPr>
            <w:r>
              <w:rPr>
                <w:color w:val="000000"/>
                <w:kern w:val="0"/>
                <w:szCs w:val="21"/>
                <w:lang w:val="en"/>
              </w:rPr>
              <w:t>取消资格的不再被抽取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atLeast"/>
          <w:jc w:val="center"/>
        </w:trPr>
        <w:tc>
          <w:tcPr>
            <w:tcW w:w="700" w:type="dxa"/>
            <w:vMerge w:val="continue"/>
            <w:noWrap w:val="0"/>
            <w:vAlign w:val="center"/>
          </w:tcPr>
          <w:p>
            <w:pPr>
              <w:spacing w:line="320" w:lineRule="exact"/>
              <w:jc w:val="left"/>
              <w:rPr>
                <w:color w:val="000000"/>
                <w:kern w:val="0"/>
                <w:szCs w:val="21"/>
              </w:rPr>
            </w:pPr>
          </w:p>
        </w:tc>
        <w:tc>
          <w:tcPr>
            <w:tcW w:w="540" w:type="dxa"/>
            <w:noWrap w:val="0"/>
            <w:vAlign w:val="center"/>
          </w:tcPr>
          <w:p>
            <w:pPr>
              <w:widowControl/>
              <w:spacing w:line="320" w:lineRule="exact"/>
              <w:jc w:val="center"/>
              <w:rPr>
                <w:color w:val="000000"/>
                <w:kern w:val="0"/>
                <w:szCs w:val="21"/>
              </w:rPr>
            </w:pPr>
            <w:r>
              <w:rPr>
                <w:color w:val="000000"/>
                <w:kern w:val="0"/>
                <w:szCs w:val="21"/>
              </w:rPr>
              <w:t>9</w:t>
            </w:r>
          </w:p>
        </w:tc>
        <w:tc>
          <w:tcPr>
            <w:tcW w:w="1430" w:type="dxa"/>
            <w:noWrap w:val="0"/>
            <w:vAlign w:val="center"/>
          </w:tcPr>
          <w:p>
            <w:pPr>
              <w:widowControl/>
              <w:spacing w:line="320" w:lineRule="exact"/>
              <w:rPr>
                <w:color w:val="000000"/>
                <w:kern w:val="0"/>
                <w:szCs w:val="21"/>
              </w:rPr>
            </w:pPr>
            <w:r>
              <w:rPr>
                <w:color w:val="000000"/>
                <w:kern w:val="0"/>
                <w:szCs w:val="21"/>
              </w:rPr>
              <w:t>在中标结果确定前，泄露评标委员会成员名单和评标项目信息</w:t>
            </w:r>
          </w:p>
        </w:tc>
        <w:tc>
          <w:tcPr>
            <w:tcW w:w="1163" w:type="dxa"/>
            <w:noWrap w:val="0"/>
            <w:vAlign w:val="center"/>
          </w:tcPr>
          <w:p>
            <w:pPr>
              <w:widowControl/>
              <w:spacing w:line="320" w:lineRule="exact"/>
              <w:rPr>
                <w:color w:val="000000"/>
                <w:kern w:val="0"/>
                <w:szCs w:val="21"/>
              </w:rPr>
            </w:pPr>
            <w:r>
              <w:rPr>
                <w:color w:val="000000"/>
                <w:kern w:val="0"/>
                <w:szCs w:val="21"/>
              </w:rPr>
              <w:t>招标项目的行政监督部门</w:t>
            </w:r>
          </w:p>
        </w:tc>
        <w:tc>
          <w:tcPr>
            <w:tcW w:w="2442" w:type="dxa"/>
            <w:noWrap w:val="0"/>
            <w:vAlign w:val="center"/>
          </w:tcPr>
          <w:p>
            <w:pPr>
              <w:widowControl/>
              <w:spacing w:line="320" w:lineRule="exact"/>
              <w:rPr>
                <w:color w:val="000000"/>
                <w:kern w:val="0"/>
                <w:szCs w:val="21"/>
              </w:rPr>
            </w:pPr>
            <w:r>
              <w:rPr>
                <w:color w:val="000000"/>
                <w:kern w:val="0"/>
                <w:szCs w:val="21"/>
              </w:rPr>
              <w:t>《招标投标法》第</w:t>
            </w:r>
            <w:r>
              <w:rPr>
                <w:color w:val="000000"/>
                <w:kern w:val="0"/>
                <w:szCs w:val="21"/>
                <w:lang w:val="en"/>
              </w:rPr>
              <w:t>37</w:t>
            </w:r>
            <w:r>
              <w:rPr>
                <w:color w:val="000000"/>
                <w:kern w:val="0"/>
                <w:szCs w:val="21"/>
              </w:rPr>
              <w:t>条</w:t>
            </w:r>
            <w:r>
              <w:rPr>
                <w:color w:val="000000"/>
                <w:kern w:val="0"/>
                <w:szCs w:val="21"/>
                <w:lang w:val="en"/>
              </w:rPr>
              <w:t>、</w:t>
            </w:r>
            <w:r>
              <w:rPr>
                <w:color w:val="000000"/>
                <w:kern w:val="0"/>
                <w:szCs w:val="21"/>
              </w:rPr>
              <w:t>《评标委员会和评标方法暂行规定》（计委等七部委 12号令）第</w:t>
            </w:r>
            <w:r>
              <w:rPr>
                <w:color w:val="000000"/>
                <w:kern w:val="0"/>
                <w:szCs w:val="21"/>
                <w:lang w:val="en"/>
              </w:rPr>
              <w:t>8</w:t>
            </w:r>
            <w:r>
              <w:rPr>
                <w:color w:val="000000"/>
                <w:kern w:val="0"/>
                <w:szCs w:val="21"/>
              </w:rPr>
              <w:t>条</w:t>
            </w:r>
          </w:p>
        </w:tc>
        <w:tc>
          <w:tcPr>
            <w:tcW w:w="4200" w:type="dxa"/>
            <w:noWrap w:val="0"/>
            <w:vAlign w:val="center"/>
          </w:tcPr>
          <w:p>
            <w:pPr>
              <w:widowControl/>
              <w:numPr>
                <w:ilvl w:val="0"/>
                <w:numId w:val="1"/>
              </w:numPr>
              <w:spacing w:line="320" w:lineRule="exact"/>
              <w:rPr>
                <w:color w:val="000000"/>
                <w:kern w:val="0"/>
                <w:szCs w:val="21"/>
              </w:rPr>
            </w:pPr>
            <w:r>
              <w:rPr>
                <w:color w:val="000000"/>
                <w:kern w:val="0"/>
                <w:szCs w:val="21"/>
              </w:rPr>
              <w:t>对评标结果未造成实质影响的，取消评标委员会成员资格</w:t>
            </w:r>
          </w:p>
          <w:p>
            <w:pPr>
              <w:widowControl/>
              <w:numPr>
                <w:ilvl w:val="0"/>
                <w:numId w:val="1"/>
              </w:numPr>
              <w:spacing w:line="320" w:lineRule="exact"/>
              <w:rPr>
                <w:color w:val="000000"/>
                <w:kern w:val="0"/>
                <w:szCs w:val="21"/>
              </w:rPr>
            </w:pPr>
            <w:r>
              <w:rPr>
                <w:color w:val="000000"/>
                <w:kern w:val="0"/>
                <w:szCs w:val="21"/>
              </w:rPr>
              <w:t>对评标结果造成实质影响的，取消评标委员会成员资格，并认定为失信行为</w:t>
            </w:r>
          </w:p>
          <w:p>
            <w:pPr>
              <w:widowControl/>
              <w:numPr>
                <w:ilvl w:val="0"/>
                <w:numId w:val="1"/>
              </w:numPr>
              <w:spacing w:line="320" w:lineRule="exact"/>
              <w:rPr>
                <w:color w:val="000000"/>
                <w:kern w:val="0"/>
                <w:szCs w:val="21"/>
              </w:rPr>
            </w:pPr>
            <w:r>
              <w:rPr>
                <w:color w:val="000000"/>
                <w:kern w:val="0"/>
                <w:szCs w:val="21"/>
              </w:rPr>
              <w:t>构成犯罪的，依法追究刑事责任</w:t>
            </w:r>
          </w:p>
        </w:tc>
        <w:tc>
          <w:tcPr>
            <w:tcW w:w="2750" w:type="dxa"/>
            <w:noWrap w:val="0"/>
            <w:vAlign w:val="center"/>
          </w:tcPr>
          <w:p>
            <w:pPr>
              <w:widowControl/>
              <w:spacing w:line="320" w:lineRule="exact"/>
              <w:rPr>
                <w:color w:val="000000"/>
                <w:kern w:val="0"/>
                <w:szCs w:val="21"/>
              </w:rPr>
            </w:pPr>
            <w:r>
              <w:rPr>
                <w:color w:val="000000"/>
                <w:kern w:val="0"/>
                <w:szCs w:val="21"/>
              </w:rPr>
              <w:t>取消评标委员会成员资格的，取消年度综合考核资格。</w:t>
            </w:r>
          </w:p>
        </w:tc>
        <w:tc>
          <w:tcPr>
            <w:tcW w:w="1862" w:type="dxa"/>
            <w:noWrap w:val="0"/>
            <w:vAlign w:val="center"/>
          </w:tcPr>
          <w:p>
            <w:pPr>
              <w:widowControl/>
              <w:spacing w:line="320" w:lineRule="exact"/>
              <w:rPr>
                <w:color w:val="000000"/>
                <w:kern w:val="0"/>
                <w:szCs w:val="21"/>
                <w:lang w:val="en"/>
              </w:rPr>
            </w:pPr>
            <w:r>
              <w:rPr>
                <w:color w:val="000000"/>
                <w:kern w:val="0"/>
                <w:szCs w:val="21"/>
                <w:lang w:val="en"/>
              </w:rPr>
              <w:t>取消资格的不再被抽取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8" w:hRule="atLeast"/>
          <w:jc w:val="center"/>
        </w:trPr>
        <w:tc>
          <w:tcPr>
            <w:tcW w:w="700" w:type="dxa"/>
            <w:vMerge w:val="restart"/>
            <w:noWrap w:val="0"/>
            <w:vAlign w:val="center"/>
          </w:tcPr>
          <w:p>
            <w:pPr>
              <w:spacing w:line="320" w:lineRule="exact"/>
              <w:jc w:val="left"/>
              <w:rPr>
                <w:color w:val="000000"/>
                <w:kern w:val="0"/>
                <w:szCs w:val="21"/>
              </w:rPr>
            </w:pPr>
            <w:r>
              <w:rPr>
                <w:color w:val="000000"/>
                <w:kern w:val="0"/>
                <w:szCs w:val="21"/>
              </w:rPr>
              <w:t>违法行为</w:t>
            </w:r>
          </w:p>
        </w:tc>
        <w:tc>
          <w:tcPr>
            <w:tcW w:w="540" w:type="dxa"/>
            <w:noWrap w:val="0"/>
            <w:vAlign w:val="center"/>
          </w:tcPr>
          <w:p>
            <w:pPr>
              <w:widowControl/>
              <w:spacing w:line="320" w:lineRule="exact"/>
              <w:jc w:val="center"/>
              <w:rPr>
                <w:color w:val="000000"/>
                <w:kern w:val="0"/>
                <w:szCs w:val="21"/>
              </w:rPr>
            </w:pPr>
            <w:r>
              <w:rPr>
                <w:color w:val="000000"/>
                <w:kern w:val="0"/>
                <w:szCs w:val="21"/>
              </w:rPr>
              <w:t>10</w:t>
            </w:r>
          </w:p>
        </w:tc>
        <w:tc>
          <w:tcPr>
            <w:tcW w:w="1430" w:type="dxa"/>
            <w:noWrap w:val="0"/>
            <w:vAlign w:val="center"/>
          </w:tcPr>
          <w:p>
            <w:pPr>
              <w:widowControl/>
              <w:spacing w:line="320" w:lineRule="exact"/>
              <w:rPr>
                <w:color w:val="000000"/>
                <w:kern w:val="0"/>
                <w:szCs w:val="21"/>
              </w:rPr>
            </w:pPr>
            <w:r>
              <w:rPr>
                <w:color w:val="000000"/>
                <w:kern w:val="0"/>
                <w:szCs w:val="21"/>
              </w:rPr>
              <w:t>透露对投标文件的评审和比较、中标候选人的推荐情况以及与评标有关的其他情况</w:t>
            </w:r>
          </w:p>
        </w:tc>
        <w:tc>
          <w:tcPr>
            <w:tcW w:w="1163" w:type="dxa"/>
            <w:noWrap w:val="0"/>
            <w:vAlign w:val="center"/>
          </w:tcPr>
          <w:p>
            <w:pPr>
              <w:widowControl/>
              <w:spacing w:line="320" w:lineRule="exact"/>
              <w:rPr>
                <w:color w:val="000000"/>
                <w:kern w:val="0"/>
                <w:szCs w:val="21"/>
              </w:rPr>
            </w:pPr>
            <w:r>
              <w:rPr>
                <w:color w:val="000000"/>
                <w:kern w:val="0"/>
                <w:szCs w:val="21"/>
              </w:rPr>
              <w:t>招标项目的行政监督部门</w:t>
            </w:r>
          </w:p>
        </w:tc>
        <w:tc>
          <w:tcPr>
            <w:tcW w:w="2442" w:type="dxa"/>
            <w:noWrap w:val="0"/>
            <w:vAlign w:val="center"/>
          </w:tcPr>
          <w:p>
            <w:pPr>
              <w:widowControl/>
              <w:spacing w:line="320" w:lineRule="exact"/>
              <w:rPr>
                <w:color w:val="000000"/>
                <w:kern w:val="0"/>
                <w:szCs w:val="21"/>
              </w:rPr>
            </w:pPr>
            <w:r>
              <w:rPr>
                <w:color w:val="000000"/>
                <w:kern w:val="0"/>
                <w:szCs w:val="21"/>
              </w:rPr>
              <w:t>《招标投标法》第44条、56条、《评标委员会和评标方法暂行规定》（国家发改委等7部委令12号）第54条</w:t>
            </w:r>
          </w:p>
        </w:tc>
        <w:tc>
          <w:tcPr>
            <w:tcW w:w="4200" w:type="dxa"/>
            <w:noWrap w:val="0"/>
            <w:vAlign w:val="center"/>
          </w:tcPr>
          <w:p>
            <w:pPr>
              <w:widowControl/>
              <w:spacing w:line="320" w:lineRule="exact"/>
              <w:rPr>
                <w:color w:val="000000"/>
                <w:kern w:val="0"/>
                <w:szCs w:val="21"/>
              </w:rPr>
            </w:pPr>
            <w:r>
              <w:rPr>
                <w:color w:val="000000"/>
                <w:kern w:val="0"/>
                <w:szCs w:val="21"/>
              </w:rPr>
              <w:t>1、警告</w:t>
            </w:r>
            <w:r>
              <w:rPr>
                <w:color w:val="000000"/>
                <w:kern w:val="0"/>
                <w:szCs w:val="21"/>
                <w:lang w:val="en"/>
              </w:rPr>
              <w:t>，</w:t>
            </w:r>
            <w:r>
              <w:rPr>
                <w:color w:val="000000"/>
                <w:kern w:val="0"/>
                <w:szCs w:val="21"/>
              </w:rPr>
              <w:t>取消评标委员会成员资格</w:t>
            </w:r>
            <w:r>
              <w:rPr>
                <w:color w:val="000000"/>
                <w:kern w:val="0"/>
                <w:szCs w:val="21"/>
                <w:lang w:val="en"/>
              </w:rPr>
              <w:t>，可以并</w:t>
            </w:r>
            <w:r>
              <w:rPr>
                <w:color w:val="000000"/>
                <w:kern w:val="0"/>
                <w:szCs w:val="21"/>
              </w:rPr>
              <w:t>处三千元以上五万元以下的罚款</w:t>
            </w:r>
            <w:r>
              <w:rPr>
                <w:color w:val="000000"/>
                <w:kern w:val="0"/>
                <w:szCs w:val="21"/>
              </w:rPr>
              <w:br w:type="textWrapping"/>
            </w:r>
            <w:r>
              <w:rPr>
                <w:color w:val="000000"/>
                <w:kern w:val="0"/>
                <w:szCs w:val="21"/>
                <w:lang w:val="en"/>
              </w:rPr>
              <w:t>2</w:t>
            </w:r>
            <w:r>
              <w:rPr>
                <w:color w:val="000000"/>
                <w:kern w:val="0"/>
                <w:szCs w:val="21"/>
              </w:rPr>
              <w:t>、认定为失信行为，终身不再聘为评标专家</w:t>
            </w:r>
            <w:r>
              <w:rPr>
                <w:color w:val="000000"/>
                <w:kern w:val="0"/>
                <w:szCs w:val="21"/>
              </w:rPr>
              <w:br w:type="textWrapping"/>
            </w:r>
            <w:r>
              <w:rPr>
                <w:color w:val="000000"/>
                <w:kern w:val="0"/>
                <w:szCs w:val="21"/>
                <w:lang w:val="en"/>
              </w:rPr>
              <w:t>3</w:t>
            </w:r>
            <w:r>
              <w:rPr>
                <w:color w:val="000000"/>
                <w:kern w:val="0"/>
                <w:szCs w:val="21"/>
              </w:rPr>
              <w:t>、构成犯罪的，依法追究刑事责任</w:t>
            </w:r>
          </w:p>
        </w:tc>
        <w:tc>
          <w:tcPr>
            <w:tcW w:w="2750" w:type="dxa"/>
            <w:noWrap w:val="0"/>
            <w:vAlign w:val="center"/>
          </w:tcPr>
          <w:p>
            <w:pPr>
              <w:widowControl/>
              <w:spacing w:line="320" w:lineRule="exact"/>
              <w:rPr>
                <w:color w:val="000000"/>
                <w:kern w:val="0"/>
                <w:szCs w:val="21"/>
              </w:rPr>
            </w:pPr>
            <w:r>
              <w:rPr>
                <w:color w:val="000000"/>
                <w:kern w:val="0"/>
                <w:szCs w:val="21"/>
              </w:rPr>
              <w:t>取消评标委员会成员资格的，取消年度综合考核资格。</w:t>
            </w:r>
          </w:p>
        </w:tc>
        <w:tc>
          <w:tcPr>
            <w:tcW w:w="1862" w:type="dxa"/>
            <w:noWrap w:val="0"/>
            <w:vAlign w:val="center"/>
          </w:tcPr>
          <w:p>
            <w:pPr>
              <w:widowControl/>
              <w:spacing w:line="320" w:lineRule="exact"/>
              <w:rPr>
                <w:color w:val="000000"/>
                <w:kern w:val="0"/>
                <w:szCs w:val="21"/>
              </w:rPr>
            </w:pPr>
            <w:r>
              <w:rPr>
                <w:color w:val="000000"/>
                <w:kern w:val="0"/>
                <w:szCs w:val="21"/>
                <w:lang w:val="en"/>
              </w:rPr>
              <w:t>取消资格的不再被抽取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700" w:type="dxa"/>
            <w:vMerge w:val="continue"/>
            <w:noWrap w:val="0"/>
            <w:vAlign w:val="center"/>
          </w:tcPr>
          <w:p>
            <w:pPr>
              <w:spacing w:line="320" w:lineRule="exact"/>
              <w:jc w:val="left"/>
              <w:rPr>
                <w:color w:val="000000"/>
                <w:kern w:val="0"/>
                <w:szCs w:val="21"/>
              </w:rPr>
            </w:pPr>
          </w:p>
        </w:tc>
        <w:tc>
          <w:tcPr>
            <w:tcW w:w="540" w:type="dxa"/>
            <w:noWrap w:val="0"/>
            <w:vAlign w:val="center"/>
          </w:tcPr>
          <w:p>
            <w:pPr>
              <w:widowControl/>
              <w:spacing w:line="320" w:lineRule="exact"/>
              <w:jc w:val="center"/>
              <w:rPr>
                <w:color w:val="000000"/>
                <w:kern w:val="0"/>
                <w:szCs w:val="21"/>
              </w:rPr>
            </w:pPr>
            <w:r>
              <w:rPr>
                <w:color w:val="000000"/>
                <w:kern w:val="0"/>
                <w:szCs w:val="21"/>
              </w:rPr>
              <w:t>11</w:t>
            </w:r>
          </w:p>
        </w:tc>
        <w:tc>
          <w:tcPr>
            <w:tcW w:w="1430" w:type="dxa"/>
            <w:noWrap w:val="0"/>
            <w:vAlign w:val="center"/>
          </w:tcPr>
          <w:p>
            <w:pPr>
              <w:widowControl/>
              <w:spacing w:line="320" w:lineRule="exact"/>
              <w:rPr>
                <w:color w:val="000000"/>
                <w:kern w:val="0"/>
                <w:szCs w:val="21"/>
              </w:rPr>
            </w:pPr>
            <w:r>
              <w:rPr>
                <w:color w:val="000000"/>
                <w:kern w:val="0"/>
                <w:szCs w:val="21"/>
              </w:rPr>
              <w:t>存在使用不实信息、隐瞒身份、伪造履历及资格等不诚信行为</w:t>
            </w:r>
          </w:p>
        </w:tc>
        <w:tc>
          <w:tcPr>
            <w:tcW w:w="1163" w:type="dxa"/>
            <w:noWrap w:val="0"/>
            <w:vAlign w:val="center"/>
          </w:tcPr>
          <w:p>
            <w:pPr>
              <w:widowControl/>
              <w:spacing w:line="320" w:lineRule="exact"/>
              <w:rPr>
                <w:color w:val="000000"/>
                <w:kern w:val="0"/>
                <w:szCs w:val="21"/>
              </w:rPr>
            </w:pPr>
            <w:r>
              <w:rPr>
                <w:color w:val="000000"/>
                <w:kern w:val="0"/>
                <w:szCs w:val="21"/>
              </w:rPr>
              <w:t>省发展改革委（公管办）、相关行政监督部门</w:t>
            </w:r>
          </w:p>
        </w:tc>
        <w:tc>
          <w:tcPr>
            <w:tcW w:w="2442" w:type="dxa"/>
            <w:noWrap w:val="0"/>
            <w:vAlign w:val="center"/>
          </w:tcPr>
          <w:p>
            <w:pPr>
              <w:widowControl/>
              <w:spacing w:line="320" w:lineRule="exact"/>
              <w:rPr>
                <w:color w:val="000000"/>
                <w:kern w:val="0"/>
                <w:szCs w:val="21"/>
              </w:rPr>
            </w:pPr>
            <w:r>
              <w:rPr>
                <w:color w:val="000000"/>
                <w:kern w:val="0"/>
                <w:szCs w:val="21"/>
              </w:rPr>
              <w:t>《刑法》第280条、《治安管理处罚法》第52条、《劳动合同法》第26条、第39条</w:t>
            </w:r>
          </w:p>
        </w:tc>
        <w:tc>
          <w:tcPr>
            <w:tcW w:w="4200" w:type="dxa"/>
            <w:noWrap w:val="0"/>
            <w:vAlign w:val="center"/>
          </w:tcPr>
          <w:p>
            <w:pPr>
              <w:widowControl/>
              <w:spacing w:line="320" w:lineRule="exact"/>
              <w:rPr>
                <w:color w:val="000000"/>
                <w:kern w:val="0"/>
                <w:szCs w:val="21"/>
              </w:rPr>
            </w:pPr>
            <w:r>
              <w:rPr>
                <w:color w:val="000000"/>
                <w:kern w:val="0"/>
                <w:szCs w:val="21"/>
              </w:rPr>
              <w:t>取消评标委员会成员资格，并认定为失信行为，终身不再聘为评标专家</w:t>
            </w:r>
          </w:p>
        </w:tc>
        <w:tc>
          <w:tcPr>
            <w:tcW w:w="2750" w:type="dxa"/>
            <w:noWrap w:val="0"/>
            <w:vAlign w:val="center"/>
          </w:tcPr>
          <w:p>
            <w:pPr>
              <w:widowControl/>
              <w:spacing w:line="320" w:lineRule="exact"/>
              <w:rPr>
                <w:color w:val="000000"/>
                <w:kern w:val="0"/>
                <w:szCs w:val="21"/>
              </w:rPr>
            </w:pPr>
            <w:r>
              <w:rPr>
                <w:color w:val="000000"/>
                <w:kern w:val="0"/>
                <w:szCs w:val="21"/>
              </w:rPr>
              <w:t>取消评标委员会成员资格的，取消年度综合考核资格</w:t>
            </w:r>
          </w:p>
        </w:tc>
        <w:tc>
          <w:tcPr>
            <w:tcW w:w="1862" w:type="dxa"/>
            <w:noWrap w:val="0"/>
            <w:vAlign w:val="center"/>
          </w:tcPr>
          <w:p>
            <w:pPr>
              <w:widowControl/>
              <w:spacing w:line="320" w:lineRule="exact"/>
              <w:rPr>
                <w:color w:val="000000"/>
                <w:kern w:val="0"/>
                <w:szCs w:val="21"/>
                <w:lang w:val="en"/>
              </w:rPr>
            </w:pPr>
            <w:r>
              <w:rPr>
                <w:color w:val="000000"/>
                <w:kern w:val="0"/>
                <w:szCs w:val="21"/>
                <w:lang w:val="en"/>
              </w:rPr>
              <w:t>取消资格的不再被抽取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jc w:val="center"/>
        </w:trPr>
        <w:tc>
          <w:tcPr>
            <w:tcW w:w="700" w:type="dxa"/>
            <w:vMerge w:val="continue"/>
            <w:noWrap w:val="0"/>
            <w:vAlign w:val="center"/>
          </w:tcPr>
          <w:p>
            <w:pPr>
              <w:widowControl/>
              <w:spacing w:line="320" w:lineRule="exact"/>
              <w:jc w:val="left"/>
              <w:rPr>
                <w:color w:val="000000"/>
                <w:kern w:val="0"/>
                <w:szCs w:val="21"/>
              </w:rPr>
            </w:pPr>
          </w:p>
        </w:tc>
        <w:tc>
          <w:tcPr>
            <w:tcW w:w="540" w:type="dxa"/>
            <w:noWrap w:val="0"/>
            <w:vAlign w:val="center"/>
          </w:tcPr>
          <w:p>
            <w:pPr>
              <w:widowControl/>
              <w:spacing w:line="320" w:lineRule="exact"/>
              <w:jc w:val="center"/>
              <w:rPr>
                <w:color w:val="000000"/>
                <w:kern w:val="0"/>
                <w:szCs w:val="21"/>
              </w:rPr>
            </w:pPr>
            <w:r>
              <w:rPr>
                <w:color w:val="000000"/>
                <w:kern w:val="0"/>
                <w:szCs w:val="21"/>
              </w:rPr>
              <w:t>12</w:t>
            </w:r>
          </w:p>
        </w:tc>
        <w:tc>
          <w:tcPr>
            <w:tcW w:w="1430" w:type="dxa"/>
            <w:noWrap w:val="0"/>
            <w:vAlign w:val="center"/>
          </w:tcPr>
          <w:p>
            <w:pPr>
              <w:widowControl/>
              <w:spacing w:line="320" w:lineRule="exact"/>
              <w:rPr>
                <w:color w:val="000000"/>
                <w:kern w:val="0"/>
                <w:szCs w:val="21"/>
              </w:rPr>
            </w:pPr>
            <w:r>
              <w:rPr>
                <w:color w:val="000000"/>
                <w:kern w:val="0"/>
                <w:szCs w:val="21"/>
              </w:rPr>
              <w:t>其他不客观、不公正履行职务的行为，及其他违反相关法律法规的行为</w:t>
            </w:r>
          </w:p>
        </w:tc>
        <w:tc>
          <w:tcPr>
            <w:tcW w:w="1163" w:type="dxa"/>
            <w:noWrap w:val="0"/>
            <w:vAlign w:val="center"/>
          </w:tcPr>
          <w:p>
            <w:pPr>
              <w:widowControl/>
              <w:spacing w:line="320" w:lineRule="exact"/>
              <w:rPr>
                <w:color w:val="000000"/>
                <w:kern w:val="0"/>
                <w:szCs w:val="21"/>
              </w:rPr>
            </w:pPr>
            <w:r>
              <w:rPr>
                <w:color w:val="000000"/>
                <w:kern w:val="0"/>
                <w:szCs w:val="21"/>
              </w:rPr>
              <w:t>招标项目的行政监督部门</w:t>
            </w:r>
          </w:p>
        </w:tc>
        <w:tc>
          <w:tcPr>
            <w:tcW w:w="2442" w:type="dxa"/>
            <w:noWrap w:val="0"/>
            <w:vAlign w:val="center"/>
          </w:tcPr>
          <w:p>
            <w:pPr>
              <w:widowControl/>
              <w:spacing w:line="320" w:lineRule="exact"/>
              <w:rPr>
                <w:color w:val="000000"/>
                <w:kern w:val="0"/>
                <w:szCs w:val="21"/>
              </w:rPr>
            </w:pPr>
            <w:r>
              <w:rPr>
                <w:color w:val="000000"/>
                <w:kern w:val="0"/>
                <w:szCs w:val="21"/>
              </w:rPr>
              <w:t>《招标投标法》第44条、《招标投标法实施条例》第71条、《评标委员会和评标方法暂行规定》（国家发改委等7部委令12号）第53条</w:t>
            </w:r>
          </w:p>
        </w:tc>
        <w:tc>
          <w:tcPr>
            <w:tcW w:w="4200" w:type="dxa"/>
            <w:noWrap w:val="0"/>
            <w:vAlign w:val="center"/>
          </w:tcPr>
          <w:p>
            <w:pPr>
              <w:widowControl/>
              <w:spacing w:line="320" w:lineRule="exact"/>
              <w:rPr>
                <w:color w:val="000000"/>
                <w:kern w:val="0"/>
                <w:szCs w:val="21"/>
              </w:rPr>
            </w:pPr>
            <w:r>
              <w:rPr>
                <w:color w:val="000000"/>
                <w:kern w:val="0"/>
                <w:szCs w:val="21"/>
              </w:rPr>
              <w:t>1、违法行为对评标结果未造成实质影响的由行政监督部门责令改正，并给予警告、通报批评</w:t>
            </w:r>
            <w:r>
              <w:rPr>
                <w:color w:val="000000"/>
                <w:kern w:val="0"/>
                <w:szCs w:val="21"/>
              </w:rPr>
              <w:br w:type="textWrapping"/>
            </w:r>
            <w:r>
              <w:rPr>
                <w:color w:val="000000"/>
                <w:kern w:val="0"/>
                <w:szCs w:val="21"/>
              </w:rPr>
              <w:t>2、违法行为对评标结果造成实质影响，情节严重的，暂停评标1年</w:t>
            </w:r>
            <w:r>
              <w:rPr>
                <w:color w:val="000000"/>
                <w:kern w:val="0"/>
                <w:szCs w:val="21"/>
              </w:rPr>
              <w:br w:type="textWrapping"/>
            </w:r>
            <w:r>
              <w:rPr>
                <w:color w:val="000000"/>
                <w:kern w:val="0"/>
                <w:szCs w:val="21"/>
              </w:rPr>
              <w:t>3、违法行为对评标结果造成实质影响，情节特别严重的，取消评标委员会成员资格，并认定为失信行为，终身不再聘为评标专家</w:t>
            </w:r>
          </w:p>
        </w:tc>
        <w:tc>
          <w:tcPr>
            <w:tcW w:w="2750" w:type="dxa"/>
            <w:noWrap w:val="0"/>
            <w:vAlign w:val="center"/>
          </w:tcPr>
          <w:p>
            <w:pPr>
              <w:widowControl/>
              <w:spacing w:line="320" w:lineRule="exact"/>
              <w:rPr>
                <w:color w:val="000000"/>
                <w:kern w:val="0"/>
                <w:szCs w:val="21"/>
              </w:rPr>
            </w:pPr>
            <w:r>
              <w:rPr>
                <w:color w:val="000000"/>
                <w:kern w:val="0"/>
                <w:szCs w:val="21"/>
              </w:rPr>
              <w:t>1、给予警告处理的，考评认定为基本称职；2、给予通报批评处理的，考评认定为不称职；3、给予暂停评标1年处理的，年度综合考核为不合格；4、取消评标委员会成员资格的，取消年度综合考核资格。</w:t>
            </w:r>
          </w:p>
        </w:tc>
        <w:tc>
          <w:tcPr>
            <w:tcW w:w="1862" w:type="dxa"/>
            <w:noWrap w:val="0"/>
            <w:vAlign w:val="center"/>
          </w:tcPr>
          <w:p>
            <w:pPr>
              <w:widowControl/>
              <w:spacing w:line="320" w:lineRule="exact"/>
              <w:rPr>
                <w:color w:val="000000"/>
                <w:kern w:val="0"/>
                <w:szCs w:val="21"/>
              </w:rPr>
            </w:pPr>
            <w:r>
              <w:rPr>
                <w:color w:val="000000"/>
                <w:kern w:val="0"/>
                <w:szCs w:val="21"/>
                <w:lang w:val="en"/>
              </w:rPr>
              <w:t>1、基本称职的</w:t>
            </w:r>
            <w:r>
              <w:rPr>
                <w:color w:val="000000"/>
                <w:kern w:val="0"/>
                <w:szCs w:val="21"/>
              </w:rPr>
              <w:t>3</w:t>
            </w:r>
            <w:r>
              <w:rPr>
                <w:color w:val="000000"/>
                <w:kern w:val="0"/>
                <w:szCs w:val="21"/>
                <w:lang w:val="en"/>
              </w:rPr>
              <w:t>个月内不得被抽取；2、不称职的6个月内不得被抽取；3、不合格的1年内不得被抽取；4、取消资格的不再被抽取。</w:t>
            </w:r>
          </w:p>
        </w:tc>
      </w:tr>
    </w:tbl>
    <w:p>
      <w:pPr>
        <w:rPr>
          <w:color w:val="000000"/>
        </w:rPr>
        <w:sectPr>
          <w:footerReference r:id="rId3" w:type="default"/>
          <w:footerReference r:id="rId4" w:type="even"/>
          <w:pgSz w:w="16838" w:h="11906" w:orient="landscape"/>
          <w:pgMar w:top="1418" w:right="1134" w:bottom="1418" w:left="1134" w:header="851" w:footer="1021" w:gutter="0"/>
          <w:cols w:space="720" w:num="1"/>
          <w:docGrid w:type="lines" w:linePitch="312" w:charSpace="0"/>
        </w:sectPr>
      </w:pPr>
    </w:p>
    <w:p>
      <w:pPr>
        <w:rPr>
          <w:color w:val="000000"/>
        </w:rPr>
      </w:pPr>
    </w:p>
    <w:tbl>
      <w:tblPr>
        <w:tblStyle w:val="3"/>
        <w:tblW w:w="15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600"/>
        <w:gridCol w:w="2552"/>
        <w:gridCol w:w="2503"/>
        <w:gridCol w:w="3828"/>
        <w:gridCol w:w="2725"/>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blHeader/>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黑体"/>
                <w:color w:val="000000"/>
                <w:kern w:val="0"/>
                <w:szCs w:val="21"/>
              </w:rPr>
            </w:pPr>
            <w:r>
              <w:rPr>
                <w:rFonts w:eastAsia="黑体"/>
                <w:color w:val="000000"/>
                <w:kern w:val="0"/>
                <w:szCs w:val="21"/>
              </w:rPr>
              <w:t>行为</w:t>
            </w:r>
            <w:r>
              <w:rPr>
                <w:rFonts w:eastAsia="黑体"/>
                <w:color w:val="000000"/>
                <w:kern w:val="0"/>
                <w:szCs w:val="21"/>
              </w:rPr>
              <w:br w:type="textWrapping"/>
            </w:r>
            <w:r>
              <w:rPr>
                <w:rFonts w:eastAsia="黑体"/>
                <w:color w:val="000000"/>
                <w:kern w:val="0"/>
                <w:szCs w:val="21"/>
              </w:rPr>
              <w:t>性质</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黑体"/>
                <w:color w:val="000000"/>
                <w:kern w:val="0"/>
                <w:szCs w:val="21"/>
              </w:rPr>
            </w:pPr>
            <w:r>
              <w:rPr>
                <w:rFonts w:eastAsia="黑体"/>
                <w:color w:val="000000"/>
                <w:kern w:val="0"/>
                <w:szCs w:val="21"/>
              </w:rPr>
              <w:t>序号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黑体"/>
                <w:color w:val="000000"/>
                <w:kern w:val="0"/>
                <w:szCs w:val="21"/>
              </w:rPr>
            </w:pPr>
            <w:r>
              <w:rPr>
                <w:rFonts w:eastAsia="黑体"/>
                <w:color w:val="000000"/>
                <w:kern w:val="0"/>
                <w:szCs w:val="21"/>
              </w:rPr>
              <w:t>具体行为</w:t>
            </w:r>
          </w:p>
        </w:tc>
        <w:tc>
          <w:tcPr>
            <w:tcW w:w="2503"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黑体"/>
                <w:color w:val="000000"/>
                <w:kern w:val="0"/>
                <w:szCs w:val="21"/>
              </w:rPr>
            </w:pPr>
            <w:r>
              <w:rPr>
                <w:rFonts w:eastAsia="黑体"/>
                <w:color w:val="000000"/>
                <w:kern w:val="0"/>
                <w:szCs w:val="21"/>
              </w:rPr>
              <w:t>监督部门</w:t>
            </w:r>
          </w:p>
        </w:tc>
        <w:tc>
          <w:tcPr>
            <w:tcW w:w="382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黑体"/>
                <w:color w:val="000000"/>
                <w:kern w:val="0"/>
                <w:szCs w:val="21"/>
              </w:rPr>
            </w:pPr>
            <w:r>
              <w:rPr>
                <w:rFonts w:eastAsia="黑体"/>
                <w:color w:val="000000"/>
                <w:kern w:val="0"/>
                <w:szCs w:val="21"/>
              </w:rPr>
              <w:t>处罚或处理措施</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黑体"/>
                <w:color w:val="000000"/>
                <w:kern w:val="0"/>
                <w:szCs w:val="21"/>
              </w:rPr>
            </w:pPr>
            <w:r>
              <w:rPr>
                <w:rFonts w:eastAsia="黑体"/>
                <w:color w:val="000000"/>
                <w:kern w:val="0"/>
                <w:szCs w:val="21"/>
              </w:rPr>
              <w:t>考评结果</w:t>
            </w:r>
          </w:p>
        </w:tc>
        <w:tc>
          <w:tcPr>
            <w:tcW w:w="216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eastAsia="黑体"/>
                <w:color w:val="000000"/>
                <w:kern w:val="0"/>
                <w:szCs w:val="21"/>
                <w:lang w:val="en"/>
              </w:rPr>
            </w:pPr>
            <w:r>
              <w:rPr>
                <w:rFonts w:eastAsia="黑体"/>
                <w:color w:val="000000"/>
                <w:kern w:val="0"/>
                <w:szCs w:val="21"/>
                <w:lang w:val="en"/>
              </w:rPr>
              <w:t>结果运用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63" w:type="dxa"/>
            <w:vMerge w:val="restart"/>
            <w:noWrap w:val="0"/>
            <w:vAlign w:val="center"/>
          </w:tcPr>
          <w:p>
            <w:pPr>
              <w:widowControl/>
              <w:spacing w:before="156" w:beforeLines="50" w:after="156" w:afterLines="50" w:line="320" w:lineRule="exact"/>
              <w:jc w:val="center"/>
              <w:rPr>
                <w:color w:val="000000"/>
                <w:kern w:val="0"/>
                <w:szCs w:val="21"/>
              </w:rPr>
            </w:pPr>
            <w:r>
              <w:rPr>
                <w:color w:val="000000"/>
                <w:kern w:val="0"/>
                <w:szCs w:val="21"/>
              </w:rPr>
              <w:t>违规行为</w:t>
            </w:r>
          </w:p>
        </w:tc>
        <w:tc>
          <w:tcPr>
            <w:tcW w:w="600" w:type="dxa"/>
            <w:noWrap w:val="0"/>
            <w:vAlign w:val="center"/>
          </w:tcPr>
          <w:p>
            <w:pPr>
              <w:widowControl/>
              <w:spacing w:before="156" w:beforeLines="50" w:after="156" w:afterLines="50" w:line="320" w:lineRule="exact"/>
              <w:jc w:val="center"/>
              <w:rPr>
                <w:color w:val="000000"/>
                <w:kern w:val="0"/>
                <w:szCs w:val="21"/>
              </w:rPr>
            </w:pPr>
            <w:r>
              <w:rPr>
                <w:color w:val="000000"/>
                <w:kern w:val="0"/>
                <w:szCs w:val="21"/>
              </w:rPr>
              <w:t>13</w:t>
            </w:r>
          </w:p>
        </w:tc>
        <w:tc>
          <w:tcPr>
            <w:tcW w:w="2552" w:type="dxa"/>
            <w:noWrap w:val="0"/>
            <w:vAlign w:val="center"/>
          </w:tcPr>
          <w:p>
            <w:pPr>
              <w:widowControl/>
              <w:spacing w:before="156" w:beforeLines="50" w:after="156" w:afterLines="50" w:line="320" w:lineRule="exact"/>
              <w:rPr>
                <w:color w:val="000000"/>
                <w:kern w:val="0"/>
                <w:szCs w:val="21"/>
              </w:rPr>
            </w:pPr>
            <w:r>
              <w:rPr>
                <w:color w:val="000000"/>
                <w:kern w:val="0"/>
                <w:szCs w:val="21"/>
              </w:rPr>
              <w:t>请假时间超过两个月，不按规定书面说明原因</w:t>
            </w:r>
          </w:p>
        </w:tc>
        <w:tc>
          <w:tcPr>
            <w:tcW w:w="2503" w:type="dxa"/>
            <w:noWrap w:val="0"/>
            <w:vAlign w:val="center"/>
          </w:tcPr>
          <w:p>
            <w:pPr>
              <w:widowControl/>
              <w:spacing w:before="156" w:beforeLines="50" w:after="156" w:afterLines="50" w:line="320" w:lineRule="exact"/>
              <w:rPr>
                <w:color w:val="000000"/>
                <w:kern w:val="0"/>
                <w:szCs w:val="21"/>
              </w:rPr>
            </w:pPr>
            <w:r>
              <w:rPr>
                <w:color w:val="000000"/>
                <w:kern w:val="0"/>
                <w:szCs w:val="21"/>
              </w:rPr>
              <w:t>省发展改革委（公管办）</w:t>
            </w:r>
          </w:p>
        </w:tc>
        <w:tc>
          <w:tcPr>
            <w:tcW w:w="3828" w:type="dxa"/>
            <w:noWrap w:val="0"/>
            <w:vAlign w:val="center"/>
          </w:tcPr>
          <w:p>
            <w:pPr>
              <w:widowControl/>
              <w:spacing w:before="156" w:beforeLines="50" w:after="156" w:afterLines="50" w:line="320" w:lineRule="exact"/>
              <w:rPr>
                <w:color w:val="000000"/>
                <w:kern w:val="0"/>
                <w:szCs w:val="21"/>
                <w:lang w:val="en"/>
              </w:rPr>
            </w:pPr>
            <w:r>
              <w:rPr>
                <w:color w:val="000000"/>
                <w:kern w:val="0"/>
                <w:szCs w:val="21"/>
              </w:rPr>
              <w:t>集中</w:t>
            </w:r>
            <w:r>
              <w:rPr>
                <w:color w:val="000000"/>
                <w:kern w:val="0"/>
                <w:szCs w:val="21"/>
                <w:lang w:val="en"/>
              </w:rPr>
              <w:t>公告</w:t>
            </w:r>
          </w:p>
        </w:tc>
        <w:tc>
          <w:tcPr>
            <w:tcW w:w="2725" w:type="dxa"/>
            <w:noWrap w:val="0"/>
            <w:vAlign w:val="center"/>
          </w:tcPr>
          <w:p>
            <w:pPr>
              <w:widowControl/>
              <w:spacing w:before="156" w:beforeLines="50" w:after="156" w:afterLines="50" w:line="320" w:lineRule="exact"/>
              <w:rPr>
                <w:color w:val="000000"/>
                <w:kern w:val="0"/>
                <w:szCs w:val="21"/>
              </w:rPr>
            </w:pPr>
            <w:r>
              <w:rPr>
                <w:color w:val="000000"/>
                <w:kern w:val="0"/>
                <w:szCs w:val="21"/>
              </w:rPr>
              <w:t>考评认定为不称职</w:t>
            </w:r>
          </w:p>
        </w:tc>
        <w:tc>
          <w:tcPr>
            <w:tcW w:w="2162" w:type="dxa"/>
            <w:noWrap w:val="0"/>
            <w:vAlign w:val="center"/>
          </w:tcPr>
          <w:p>
            <w:pPr>
              <w:widowControl/>
              <w:spacing w:before="156" w:beforeLines="50" w:after="156" w:afterLines="50" w:line="320" w:lineRule="exact"/>
              <w:rPr>
                <w:color w:val="000000"/>
                <w:kern w:val="0"/>
                <w:szCs w:val="21"/>
              </w:rPr>
            </w:pPr>
            <w:r>
              <w:rPr>
                <w:color w:val="000000"/>
                <w:kern w:val="0"/>
                <w:szCs w:val="21"/>
                <w:lang w:val="en"/>
              </w:rPr>
              <w:t>不称职的6个月内不得被抽取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63" w:type="dxa"/>
            <w:vMerge w:val="continue"/>
            <w:noWrap w:val="0"/>
            <w:vAlign w:val="center"/>
          </w:tcPr>
          <w:p>
            <w:pPr>
              <w:widowControl/>
              <w:spacing w:before="156" w:beforeLines="50" w:after="156" w:afterLines="50" w:line="320" w:lineRule="exact"/>
              <w:jc w:val="left"/>
              <w:rPr>
                <w:color w:val="000000"/>
                <w:kern w:val="0"/>
                <w:szCs w:val="21"/>
              </w:rPr>
            </w:pPr>
          </w:p>
        </w:tc>
        <w:tc>
          <w:tcPr>
            <w:tcW w:w="600" w:type="dxa"/>
            <w:noWrap w:val="0"/>
            <w:vAlign w:val="center"/>
          </w:tcPr>
          <w:p>
            <w:pPr>
              <w:widowControl/>
              <w:spacing w:before="156" w:beforeLines="50" w:after="156" w:afterLines="50" w:line="320" w:lineRule="exact"/>
              <w:jc w:val="center"/>
              <w:rPr>
                <w:color w:val="000000"/>
                <w:kern w:val="0"/>
                <w:szCs w:val="21"/>
              </w:rPr>
            </w:pPr>
            <w:r>
              <w:rPr>
                <w:color w:val="000000"/>
                <w:kern w:val="0"/>
                <w:szCs w:val="21"/>
              </w:rPr>
              <w:t>14</w:t>
            </w:r>
          </w:p>
        </w:tc>
        <w:tc>
          <w:tcPr>
            <w:tcW w:w="2552" w:type="dxa"/>
            <w:noWrap w:val="0"/>
            <w:vAlign w:val="center"/>
          </w:tcPr>
          <w:p>
            <w:pPr>
              <w:widowControl/>
              <w:spacing w:before="156" w:beforeLines="50" w:after="156" w:afterLines="50" w:line="320" w:lineRule="exact"/>
              <w:rPr>
                <w:color w:val="000000"/>
                <w:kern w:val="0"/>
                <w:szCs w:val="21"/>
              </w:rPr>
            </w:pPr>
            <w:r>
              <w:rPr>
                <w:color w:val="000000"/>
                <w:kern w:val="0"/>
                <w:szCs w:val="21"/>
              </w:rPr>
              <w:t>未网上请假拒绝参加评标活动</w:t>
            </w:r>
          </w:p>
        </w:tc>
        <w:tc>
          <w:tcPr>
            <w:tcW w:w="2503" w:type="dxa"/>
            <w:noWrap w:val="0"/>
            <w:vAlign w:val="center"/>
          </w:tcPr>
          <w:p>
            <w:pPr>
              <w:widowControl/>
              <w:spacing w:before="156" w:beforeLines="50" w:after="156" w:afterLines="50" w:line="320" w:lineRule="exact"/>
              <w:rPr>
                <w:color w:val="000000"/>
                <w:kern w:val="0"/>
                <w:szCs w:val="21"/>
              </w:rPr>
            </w:pPr>
            <w:r>
              <w:rPr>
                <w:color w:val="000000"/>
                <w:kern w:val="0"/>
                <w:szCs w:val="21"/>
              </w:rPr>
              <w:t>省发展改革委（公管办）</w:t>
            </w:r>
          </w:p>
        </w:tc>
        <w:tc>
          <w:tcPr>
            <w:tcW w:w="3828" w:type="dxa"/>
            <w:noWrap w:val="0"/>
            <w:vAlign w:val="center"/>
          </w:tcPr>
          <w:p>
            <w:pPr>
              <w:widowControl/>
              <w:spacing w:before="156" w:beforeLines="50" w:after="156" w:afterLines="50" w:line="320" w:lineRule="exact"/>
              <w:rPr>
                <w:color w:val="000000"/>
                <w:kern w:val="0"/>
                <w:szCs w:val="21"/>
              </w:rPr>
            </w:pPr>
            <w:r>
              <w:rPr>
                <w:color w:val="000000"/>
                <w:kern w:val="0"/>
                <w:szCs w:val="21"/>
              </w:rPr>
              <w:t>1、连续违规4次以上的暂停评标1年</w:t>
            </w:r>
          </w:p>
          <w:p>
            <w:pPr>
              <w:widowControl/>
              <w:spacing w:before="156" w:beforeLines="50" w:after="156" w:afterLines="50" w:line="320" w:lineRule="exact"/>
              <w:rPr>
                <w:color w:val="000000"/>
                <w:kern w:val="0"/>
                <w:szCs w:val="21"/>
              </w:rPr>
            </w:pPr>
            <w:r>
              <w:rPr>
                <w:color w:val="000000"/>
                <w:kern w:val="0"/>
                <w:szCs w:val="21"/>
              </w:rPr>
              <w:t>2、年度累计违规8次以上的暂停评标1年</w:t>
            </w:r>
          </w:p>
        </w:tc>
        <w:tc>
          <w:tcPr>
            <w:tcW w:w="2725" w:type="dxa"/>
            <w:noWrap w:val="0"/>
            <w:vAlign w:val="center"/>
          </w:tcPr>
          <w:p>
            <w:pPr>
              <w:widowControl/>
              <w:spacing w:before="156" w:beforeLines="50" w:after="156" w:afterLines="50" w:line="320" w:lineRule="exact"/>
              <w:rPr>
                <w:color w:val="000000"/>
                <w:kern w:val="0"/>
                <w:szCs w:val="21"/>
              </w:rPr>
            </w:pPr>
            <w:r>
              <w:rPr>
                <w:color w:val="000000"/>
                <w:kern w:val="0"/>
                <w:szCs w:val="21"/>
              </w:rPr>
              <w:t>年度综合考核为不合格</w:t>
            </w:r>
          </w:p>
        </w:tc>
        <w:tc>
          <w:tcPr>
            <w:tcW w:w="2162" w:type="dxa"/>
            <w:noWrap w:val="0"/>
            <w:vAlign w:val="center"/>
          </w:tcPr>
          <w:p>
            <w:pPr>
              <w:widowControl/>
              <w:spacing w:before="156" w:beforeLines="50" w:after="156" w:afterLines="50" w:line="320" w:lineRule="exact"/>
              <w:rPr>
                <w:color w:val="000000"/>
                <w:kern w:val="0"/>
                <w:szCs w:val="21"/>
              </w:rPr>
            </w:pPr>
            <w:r>
              <w:rPr>
                <w:color w:val="000000"/>
                <w:kern w:val="0"/>
                <w:szCs w:val="21"/>
                <w:lang w:val="en"/>
              </w:rPr>
              <w:t>不合格的1年内不得被抽取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663" w:type="dxa"/>
            <w:vMerge w:val="continue"/>
            <w:noWrap w:val="0"/>
            <w:vAlign w:val="center"/>
          </w:tcPr>
          <w:p>
            <w:pPr>
              <w:widowControl/>
              <w:spacing w:before="156" w:beforeLines="50" w:after="156" w:afterLines="50" w:line="320" w:lineRule="exact"/>
              <w:jc w:val="left"/>
              <w:rPr>
                <w:color w:val="000000"/>
                <w:kern w:val="0"/>
                <w:szCs w:val="21"/>
              </w:rPr>
            </w:pPr>
          </w:p>
        </w:tc>
        <w:tc>
          <w:tcPr>
            <w:tcW w:w="600" w:type="dxa"/>
            <w:noWrap w:val="0"/>
            <w:vAlign w:val="center"/>
          </w:tcPr>
          <w:p>
            <w:pPr>
              <w:widowControl/>
              <w:spacing w:before="156" w:beforeLines="50" w:after="156" w:afterLines="50" w:line="320" w:lineRule="exact"/>
              <w:jc w:val="center"/>
              <w:rPr>
                <w:color w:val="000000"/>
                <w:kern w:val="0"/>
                <w:szCs w:val="21"/>
              </w:rPr>
            </w:pPr>
            <w:r>
              <w:rPr>
                <w:color w:val="000000"/>
                <w:kern w:val="0"/>
                <w:szCs w:val="21"/>
              </w:rPr>
              <w:t>15</w:t>
            </w:r>
          </w:p>
        </w:tc>
        <w:tc>
          <w:tcPr>
            <w:tcW w:w="2552" w:type="dxa"/>
            <w:noWrap w:val="0"/>
            <w:vAlign w:val="center"/>
          </w:tcPr>
          <w:p>
            <w:pPr>
              <w:widowControl/>
              <w:spacing w:before="156" w:beforeLines="50" w:after="156" w:afterLines="50" w:line="320" w:lineRule="exact"/>
              <w:rPr>
                <w:color w:val="000000"/>
                <w:kern w:val="0"/>
                <w:szCs w:val="21"/>
              </w:rPr>
            </w:pPr>
            <w:r>
              <w:rPr>
                <w:color w:val="000000"/>
                <w:kern w:val="0"/>
                <w:szCs w:val="21"/>
              </w:rPr>
              <w:t>不按规定完成教育培训</w:t>
            </w:r>
          </w:p>
        </w:tc>
        <w:tc>
          <w:tcPr>
            <w:tcW w:w="2503" w:type="dxa"/>
            <w:noWrap w:val="0"/>
            <w:vAlign w:val="center"/>
          </w:tcPr>
          <w:p>
            <w:pPr>
              <w:widowControl/>
              <w:spacing w:before="156" w:beforeLines="50" w:after="156" w:afterLines="50" w:line="320" w:lineRule="exact"/>
              <w:rPr>
                <w:color w:val="000000"/>
                <w:kern w:val="0"/>
                <w:szCs w:val="21"/>
              </w:rPr>
            </w:pPr>
            <w:r>
              <w:rPr>
                <w:color w:val="000000"/>
                <w:kern w:val="0"/>
                <w:szCs w:val="21"/>
              </w:rPr>
              <w:t>省发展改革委（公管办）</w:t>
            </w:r>
            <w:r>
              <w:rPr>
                <w:color w:val="000000"/>
                <w:kern w:val="0"/>
                <w:szCs w:val="21"/>
                <w:lang w:val="en"/>
              </w:rPr>
              <w:t>、</w:t>
            </w:r>
            <w:r>
              <w:rPr>
                <w:color w:val="000000"/>
                <w:kern w:val="0"/>
                <w:szCs w:val="21"/>
              </w:rPr>
              <w:t>培训组织单位</w:t>
            </w:r>
          </w:p>
        </w:tc>
        <w:tc>
          <w:tcPr>
            <w:tcW w:w="3828" w:type="dxa"/>
            <w:noWrap w:val="0"/>
            <w:vAlign w:val="center"/>
          </w:tcPr>
          <w:p>
            <w:pPr>
              <w:widowControl/>
              <w:spacing w:before="156" w:beforeLines="50" w:after="156" w:afterLines="50" w:line="320" w:lineRule="exact"/>
              <w:rPr>
                <w:color w:val="000000"/>
                <w:kern w:val="0"/>
                <w:szCs w:val="21"/>
              </w:rPr>
            </w:pPr>
            <w:r>
              <w:rPr>
                <w:color w:val="000000"/>
                <w:kern w:val="0"/>
                <w:szCs w:val="21"/>
              </w:rPr>
              <w:t>1、不按规定参加教育培训的给予暂停评标1年</w:t>
            </w:r>
          </w:p>
          <w:p>
            <w:pPr>
              <w:widowControl/>
              <w:spacing w:before="156" w:beforeLines="50" w:after="156" w:afterLines="50" w:line="320" w:lineRule="exact"/>
              <w:rPr>
                <w:color w:val="000000"/>
              </w:rPr>
            </w:pPr>
            <w:r>
              <w:rPr>
                <w:color w:val="000000"/>
                <w:kern w:val="0"/>
                <w:szCs w:val="21"/>
              </w:rPr>
              <w:t>2、参加教育培训不合格的给予暂停评标1年</w:t>
            </w:r>
          </w:p>
        </w:tc>
        <w:tc>
          <w:tcPr>
            <w:tcW w:w="2725" w:type="dxa"/>
            <w:noWrap w:val="0"/>
            <w:vAlign w:val="center"/>
          </w:tcPr>
          <w:p>
            <w:pPr>
              <w:widowControl/>
              <w:spacing w:before="156" w:beforeLines="50" w:after="156" w:afterLines="50" w:line="320" w:lineRule="exact"/>
              <w:rPr>
                <w:color w:val="000000"/>
              </w:rPr>
            </w:pPr>
            <w:r>
              <w:rPr>
                <w:color w:val="000000"/>
              </w:rPr>
              <w:t>年度综合考核为不合格</w:t>
            </w:r>
          </w:p>
        </w:tc>
        <w:tc>
          <w:tcPr>
            <w:tcW w:w="2162" w:type="dxa"/>
            <w:noWrap w:val="0"/>
            <w:vAlign w:val="center"/>
          </w:tcPr>
          <w:p>
            <w:pPr>
              <w:widowControl/>
              <w:spacing w:before="156" w:beforeLines="50" w:after="156" w:afterLines="50" w:line="320" w:lineRule="exact"/>
              <w:rPr>
                <w:color w:val="000000"/>
                <w:kern w:val="0"/>
                <w:szCs w:val="21"/>
              </w:rPr>
            </w:pPr>
            <w:r>
              <w:rPr>
                <w:color w:val="000000"/>
                <w:kern w:val="0"/>
                <w:szCs w:val="21"/>
                <w:lang w:val="en"/>
              </w:rPr>
              <w:t>不合格的1年内不得被抽取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663" w:type="dxa"/>
            <w:vMerge w:val="continue"/>
            <w:noWrap w:val="0"/>
            <w:vAlign w:val="center"/>
          </w:tcPr>
          <w:p>
            <w:pPr>
              <w:widowControl/>
              <w:spacing w:before="156" w:beforeLines="50" w:after="156" w:afterLines="50" w:line="320" w:lineRule="exact"/>
              <w:jc w:val="left"/>
              <w:rPr>
                <w:color w:val="000000"/>
                <w:kern w:val="0"/>
                <w:szCs w:val="21"/>
              </w:rPr>
            </w:pPr>
          </w:p>
        </w:tc>
        <w:tc>
          <w:tcPr>
            <w:tcW w:w="600" w:type="dxa"/>
            <w:noWrap w:val="0"/>
            <w:vAlign w:val="center"/>
          </w:tcPr>
          <w:p>
            <w:pPr>
              <w:widowControl/>
              <w:spacing w:before="156" w:beforeLines="50" w:after="156" w:afterLines="50" w:line="320" w:lineRule="exact"/>
              <w:jc w:val="center"/>
              <w:rPr>
                <w:color w:val="000000"/>
                <w:kern w:val="0"/>
                <w:szCs w:val="21"/>
                <w:lang w:val="en"/>
              </w:rPr>
            </w:pPr>
            <w:r>
              <w:rPr>
                <w:color w:val="000000"/>
                <w:kern w:val="0"/>
                <w:szCs w:val="21"/>
              </w:rPr>
              <w:t>16</w:t>
            </w:r>
          </w:p>
        </w:tc>
        <w:tc>
          <w:tcPr>
            <w:tcW w:w="2552" w:type="dxa"/>
            <w:noWrap w:val="0"/>
            <w:vAlign w:val="center"/>
          </w:tcPr>
          <w:p>
            <w:pPr>
              <w:widowControl/>
              <w:spacing w:before="156" w:beforeLines="50" w:after="156" w:afterLines="50" w:line="320" w:lineRule="exact"/>
              <w:rPr>
                <w:color w:val="000000"/>
                <w:kern w:val="0"/>
                <w:szCs w:val="21"/>
              </w:rPr>
            </w:pPr>
            <w:r>
              <w:rPr>
                <w:color w:val="000000"/>
                <w:kern w:val="0"/>
                <w:szCs w:val="21"/>
              </w:rPr>
              <w:t>因评标劳务报酬（评标费和交通费）异议而拒绝评标或拒绝在评标报告上签字、或超标准索要评标劳务报酬</w:t>
            </w:r>
          </w:p>
        </w:tc>
        <w:tc>
          <w:tcPr>
            <w:tcW w:w="2503" w:type="dxa"/>
            <w:noWrap w:val="0"/>
            <w:vAlign w:val="center"/>
          </w:tcPr>
          <w:p>
            <w:pPr>
              <w:widowControl/>
              <w:spacing w:before="156" w:beforeLines="50" w:after="156" w:afterLines="50" w:line="320" w:lineRule="exact"/>
              <w:rPr>
                <w:color w:val="000000"/>
                <w:spacing w:val="-4"/>
                <w:kern w:val="0"/>
                <w:szCs w:val="21"/>
              </w:rPr>
            </w:pPr>
            <w:r>
              <w:rPr>
                <w:color w:val="000000"/>
                <w:spacing w:val="-4"/>
                <w:kern w:val="0"/>
                <w:szCs w:val="21"/>
              </w:rPr>
              <w:t>招标项目的行政监督部门</w:t>
            </w:r>
          </w:p>
        </w:tc>
        <w:tc>
          <w:tcPr>
            <w:tcW w:w="3828" w:type="dxa"/>
            <w:noWrap w:val="0"/>
            <w:vAlign w:val="center"/>
          </w:tcPr>
          <w:p>
            <w:pPr>
              <w:widowControl/>
              <w:spacing w:before="156" w:beforeLines="50" w:after="156" w:afterLines="50" w:line="320" w:lineRule="exact"/>
              <w:rPr>
                <w:color w:val="000000"/>
                <w:kern w:val="0"/>
                <w:szCs w:val="21"/>
              </w:rPr>
            </w:pPr>
            <w:r>
              <w:rPr>
                <w:color w:val="000000"/>
                <w:kern w:val="0"/>
                <w:szCs w:val="21"/>
              </w:rPr>
              <w:t>1、因劳务报酬异议或无正当理由拒绝继续评标或超标准索要评标报酬的，首次给予集中</w:t>
            </w:r>
            <w:r>
              <w:rPr>
                <w:color w:val="000000"/>
                <w:kern w:val="0"/>
                <w:szCs w:val="21"/>
                <w:lang w:val="en"/>
              </w:rPr>
              <w:t>公告</w:t>
            </w:r>
            <w:r>
              <w:rPr>
                <w:color w:val="000000"/>
                <w:kern w:val="0"/>
                <w:szCs w:val="21"/>
              </w:rPr>
              <w:br w:type="textWrapping"/>
            </w:r>
            <w:r>
              <w:rPr>
                <w:color w:val="000000"/>
                <w:kern w:val="0"/>
                <w:szCs w:val="21"/>
              </w:rPr>
              <w:t>2、因劳务报酬异议或无正当理由拒绝继续评标或超标准索要评标报酬的，年度累计两次给予暂停评标1年</w:t>
            </w:r>
          </w:p>
        </w:tc>
        <w:tc>
          <w:tcPr>
            <w:tcW w:w="2725" w:type="dxa"/>
            <w:noWrap w:val="0"/>
            <w:vAlign w:val="center"/>
          </w:tcPr>
          <w:p>
            <w:pPr>
              <w:widowControl/>
              <w:spacing w:before="156" w:beforeLines="50" w:after="156" w:afterLines="50" w:line="320" w:lineRule="exact"/>
              <w:rPr>
                <w:color w:val="000000"/>
                <w:kern w:val="0"/>
                <w:szCs w:val="21"/>
              </w:rPr>
            </w:pPr>
            <w:r>
              <w:rPr>
                <w:color w:val="000000"/>
                <w:kern w:val="0"/>
                <w:szCs w:val="21"/>
              </w:rPr>
              <w:t>1、给予集中</w:t>
            </w:r>
            <w:r>
              <w:rPr>
                <w:color w:val="000000"/>
                <w:kern w:val="0"/>
                <w:szCs w:val="21"/>
                <w:lang w:val="en"/>
              </w:rPr>
              <w:t>公告</w:t>
            </w:r>
            <w:r>
              <w:rPr>
                <w:color w:val="000000"/>
                <w:kern w:val="0"/>
                <w:szCs w:val="21"/>
              </w:rPr>
              <w:t>处理的，考评认定为不称职</w:t>
            </w:r>
            <w:r>
              <w:rPr>
                <w:rFonts w:hint="eastAsia"/>
                <w:color w:val="000000"/>
                <w:kern w:val="0"/>
                <w:szCs w:val="21"/>
              </w:rPr>
              <w:t>；</w:t>
            </w:r>
            <w:r>
              <w:rPr>
                <w:color w:val="000000"/>
                <w:kern w:val="0"/>
                <w:szCs w:val="21"/>
              </w:rPr>
              <w:t>2、给予暂停评标1年处理的，年度综合考核为不合格</w:t>
            </w:r>
          </w:p>
        </w:tc>
        <w:tc>
          <w:tcPr>
            <w:tcW w:w="2162" w:type="dxa"/>
            <w:noWrap w:val="0"/>
            <w:vAlign w:val="center"/>
          </w:tcPr>
          <w:p>
            <w:pPr>
              <w:widowControl/>
              <w:spacing w:before="156" w:beforeLines="50" w:after="156" w:afterLines="50" w:line="320" w:lineRule="exact"/>
              <w:rPr>
                <w:color w:val="000000"/>
                <w:kern w:val="0"/>
                <w:szCs w:val="21"/>
                <w:lang w:val="en"/>
              </w:rPr>
            </w:pPr>
            <w:r>
              <w:rPr>
                <w:color w:val="000000"/>
                <w:kern w:val="0"/>
                <w:szCs w:val="21"/>
                <w:lang w:val="en"/>
              </w:rPr>
              <w:t>1、不称职的6个月内不得被抽取；2、不合格的1年内不得被抽取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663" w:type="dxa"/>
            <w:vMerge w:val="continue"/>
            <w:noWrap w:val="0"/>
            <w:vAlign w:val="center"/>
          </w:tcPr>
          <w:p>
            <w:pPr>
              <w:widowControl/>
              <w:spacing w:before="156" w:beforeLines="50" w:after="156" w:afterLines="50" w:line="320" w:lineRule="exact"/>
              <w:jc w:val="left"/>
              <w:rPr>
                <w:color w:val="000000"/>
                <w:kern w:val="0"/>
                <w:szCs w:val="21"/>
              </w:rPr>
            </w:pPr>
          </w:p>
        </w:tc>
        <w:tc>
          <w:tcPr>
            <w:tcW w:w="600" w:type="dxa"/>
            <w:noWrap w:val="0"/>
            <w:vAlign w:val="center"/>
          </w:tcPr>
          <w:p>
            <w:pPr>
              <w:widowControl/>
              <w:spacing w:before="156" w:beforeLines="50" w:after="156" w:afterLines="50" w:line="320" w:lineRule="exact"/>
              <w:jc w:val="center"/>
              <w:rPr>
                <w:color w:val="000000"/>
                <w:kern w:val="0"/>
                <w:szCs w:val="21"/>
                <w:lang w:val="en"/>
              </w:rPr>
            </w:pPr>
            <w:r>
              <w:rPr>
                <w:color w:val="000000"/>
                <w:kern w:val="0"/>
                <w:szCs w:val="21"/>
                <w:lang w:val="en"/>
              </w:rPr>
              <w:t>17</w:t>
            </w:r>
          </w:p>
        </w:tc>
        <w:tc>
          <w:tcPr>
            <w:tcW w:w="2552" w:type="dxa"/>
            <w:noWrap w:val="0"/>
            <w:vAlign w:val="center"/>
          </w:tcPr>
          <w:p>
            <w:pPr>
              <w:widowControl/>
              <w:spacing w:before="156" w:beforeLines="50" w:after="156" w:afterLines="50" w:line="320" w:lineRule="exact"/>
              <w:rPr>
                <w:color w:val="000000"/>
                <w:kern w:val="0"/>
                <w:szCs w:val="21"/>
              </w:rPr>
            </w:pPr>
            <w:r>
              <w:rPr>
                <w:color w:val="000000"/>
                <w:kern w:val="0"/>
                <w:szCs w:val="21"/>
              </w:rPr>
              <w:t>发现评审中的错误不予以纠正更改</w:t>
            </w:r>
          </w:p>
        </w:tc>
        <w:tc>
          <w:tcPr>
            <w:tcW w:w="2503" w:type="dxa"/>
            <w:noWrap w:val="0"/>
            <w:vAlign w:val="center"/>
          </w:tcPr>
          <w:p>
            <w:pPr>
              <w:widowControl/>
              <w:spacing w:before="156" w:beforeLines="50" w:after="156" w:afterLines="50" w:line="320" w:lineRule="exact"/>
              <w:rPr>
                <w:color w:val="000000"/>
                <w:spacing w:val="-4"/>
                <w:kern w:val="0"/>
                <w:szCs w:val="21"/>
              </w:rPr>
            </w:pPr>
            <w:r>
              <w:rPr>
                <w:color w:val="000000"/>
                <w:spacing w:val="-4"/>
                <w:kern w:val="0"/>
                <w:szCs w:val="21"/>
              </w:rPr>
              <w:t>招标项目的行政监督部门</w:t>
            </w:r>
          </w:p>
        </w:tc>
        <w:tc>
          <w:tcPr>
            <w:tcW w:w="3828" w:type="dxa"/>
            <w:noWrap w:val="0"/>
            <w:vAlign w:val="center"/>
          </w:tcPr>
          <w:p>
            <w:pPr>
              <w:widowControl/>
              <w:spacing w:before="156" w:beforeLines="50" w:after="156" w:afterLines="50" w:line="320" w:lineRule="exact"/>
              <w:rPr>
                <w:color w:val="000000"/>
                <w:kern w:val="0"/>
                <w:szCs w:val="21"/>
              </w:rPr>
            </w:pPr>
            <w:r>
              <w:rPr>
                <w:color w:val="000000"/>
                <w:kern w:val="0"/>
                <w:szCs w:val="21"/>
              </w:rPr>
              <w:t>集中</w:t>
            </w:r>
            <w:r>
              <w:rPr>
                <w:color w:val="000000"/>
                <w:kern w:val="0"/>
                <w:szCs w:val="21"/>
                <w:lang w:val="en"/>
              </w:rPr>
              <w:t>公告</w:t>
            </w:r>
          </w:p>
        </w:tc>
        <w:tc>
          <w:tcPr>
            <w:tcW w:w="2725" w:type="dxa"/>
            <w:noWrap w:val="0"/>
            <w:vAlign w:val="center"/>
          </w:tcPr>
          <w:p>
            <w:pPr>
              <w:widowControl/>
              <w:spacing w:before="156" w:beforeLines="50" w:after="156" w:afterLines="50" w:line="320" w:lineRule="exact"/>
              <w:rPr>
                <w:color w:val="000000"/>
                <w:kern w:val="0"/>
                <w:szCs w:val="21"/>
              </w:rPr>
            </w:pPr>
            <w:r>
              <w:rPr>
                <w:color w:val="000000"/>
                <w:kern w:val="0"/>
                <w:szCs w:val="21"/>
              </w:rPr>
              <w:t>考评认定为不称职</w:t>
            </w:r>
          </w:p>
        </w:tc>
        <w:tc>
          <w:tcPr>
            <w:tcW w:w="2162" w:type="dxa"/>
            <w:noWrap w:val="0"/>
            <w:vAlign w:val="center"/>
          </w:tcPr>
          <w:p>
            <w:pPr>
              <w:widowControl/>
              <w:spacing w:before="156" w:beforeLines="50" w:after="156" w:afterLines="50" w:line="320" w:lineRule="exact"/>
              <w:rPr>
                <w:color w:val="000000"/>
                <w:kern w:val="0"/>
                <w:szCs w:val="21"/>
              </w:rPr>
            </w:pPr>
            <w:r>
              <w:rPr>
                <w:color w:val="000000"/>
                <w:kern w:val="0"/>
                <w:szCs w:val="21"/>
                <w:lang w:val="en"/>
              </w:rPr>
              <w:t>不称职的6个月内不得被抽取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663" w:type="dxa"/>
            <w:vMerge w:val="restart"/>
            <w:noWrap w:val="0"/>
            <w:vAlign w:val="center"/>
          </w:tcPr>
          <w:p>
            <w:pPr>
              <w:widowControl/>
              <w:spacing w:line="320" w:lineRule="exact"/>
              <w:jc w:val="left"/>
              <w:rPr>
                <w:color w:val="000000"/>
                <w:kern w:val="0"/>
                <w:szCs w:val="21"/>
              </w:rPr>
            </w:pPr>
            <w:r>
              <w:rPr>
                <w:color w:val="000000"/>
                <w:kern w:val="0"/>
                <w:szCs w:val="21"/>
              </w:rPr>
              <w:t>违规行为</w:t>
            </w:r>
          </w:p>
        </w:tc>
        <w:tc>
          <w:tcPr>
            <w:tcW w:w="600" w:type="dxa"/>
            <w:noWrap w:val="0"/>
            <w:vAlign w:val="center"/>
          </w:tcPr>
          <w:p>
            <w:pPr>
              <w:widowControl/>
              <w:spacing w:line="320" w:lineRule="exact"/>
              <w:jc w:val="center"/>
              <w:rPr>
                <w:color w:val="000000"/>
                <w:kern w:val="0"/>
                <w:szCs w:val="21"/>
                <w:lang w:val="en"/>
              </w:rPr>
            </w:pPr>
            <w:r>
              <w:rPr>
                <w:color w:val="000000"/>
                <w:kern w:val="0"/>
                <w:szCs w:val="21"/>
              </w:rPr>
              <w:t>18</w:t>
            </w:r>
          </w:p>
        </w:tc>
        <w:tc>
          <w:tcPr>
            <w:tcW w:w="2552" w:type="dxa"/>
            <w:noWrap w:val="0"/>
            <w:vAlign w:val="center"/>
          </w:tcPr>
          <w:p>
            <w:pPr>
              <w:widowControl/>
              <w:spacing w:line="320" w:lineRule="exact"/>
              <w:rPr>
                <w:color w:val="000000"/>
                <w:kern w:val="0"/>
                <w:szCs w:val="21"/>
              </w:rPr>
            </w:pPr>
            <w:r>
              <w:rPr>
                <w:color w:val="000000"/>
                <w:kern w:val="0"/>
                <w:szCs w:val="21"/>
              </w:rPr>
              <w:t>在评标过程中，发现不同投标人的投标文件存在异常一致，或显示投标人有不正当竞争或恶意串通等违规行为，但未及时向现场监督人员报告</w:t>
            </w:r>
          </w:p>
        </w:tc>
        <w:tc>
          <w:tcPr>
            <w:tcW w:w="2503" w:type="dxa"/>
            <w:noWrap w:val="0"/>
            <w:vAlign w:val="center"/>
          </w:tcPr>
          <w:p>
            <w:pPr>
              <w:widowControl/>
              <w:spacing w:line="320" w:lineRule="exact"/>
              <w:rPr>
                <w:color w:val="000000"/>
                <w:spacing w:val="-4"/>
                <w:kern w:val="0"/>
                <w:szCs w:val="21"/>
              </w:rPr>
            </w:pPr>
            <w:r>
              <w:rPr>
                <w:color w:val="000000"/>
                <w:spacing w:val="-4"/>
                <w:kern w:val="0"/>
                <w:szCs w:val="21"/>
              </w:rPr>
              <w:t>招标项目的行政监督部门</w:t>
            </w:r>
          </w:p>
        </w:tc>
        <w:tc>
          <w:tcPr>
            <w:tcW w:w="3828" w:type="dxa"/>
            <w:noWrap w:val="0"/>
            <w:vAlign w:val="center"/>
          </w:tcPr>
          <w:p>
            <w:pPr>
              <w:widowControl/>
              <w:spacing w:line="320" w:lineRule="exact"/>
              <w:rPr>
                <w:color w:val="000000"/>
                <w:kern w:val="0"/>
                <w:szCs w:val="21"/>
              </w:rPr>
            </w:pPr>
            <w:r>
              <w:rPr>
                <w:color w:val="000000"/>
                <w:kern w:val="0"/>
                <w:szCs w:val="21"/>
              </w:rPr>
              <w:t>予以解聘</w:t>
            </w:r>
          </w:p>
        </w:tc>
        <w:tc>
          <w:tcPr>
            <w:tcW w:w="2725" w:type="dxa"/>
            <w:noWrap w:val="0"/>
            <w:vAlign w:val="center"/>
          </w:tcPr>
          <w:p>
            <w:pPr>
              <w:widowControl/>
              <w:spacing w:line="320" w:lineRule="exact"/>
              <w:rPr>
                <w:color w:val="000000"/>
                <w:kern w:val="0"/>
                <w:szCs w:val="21"/>
              </w:rPr>
            </w:pPr>
            <w:r>
              <w:rPr>
                <w:color w:val="000000"/>
                <w:kern w:val="0"/>
                <w:szCs w:val="21"/>
              </w:rPr>
              <w:t>予以解聘的，取消年度综合考核资格</w:t>
            </w:r>
          </w:p>
        </w:tc>
        <w:tc>
          <w:tcPr>
            <w:tcW w:w="2162" w:type="dxa"/>
            <w:noWrap w:val="0"/>
            <w:vAlign w:val="center"/>
          </w:tcPr>
          <w:p>
            <w:pPr>
              <w:widowControl/>
              <w:spacing w:line="320" w:lineRule="exact"/>
              <w:rPr>
                <w:color w:val="000000"/>
                <w:kern w:val="0"/>
                <w:szCs w:val="21"/>
              </w:rPr>
            </w:pPr>
            <w:r>
              <w:rPr>
                <w:color w:val="000000"/>
                <w:kern w:val="0"/>
                <w:szCs w:val="21"/>
                <w:lang w:val="en"/>
              </w:rPr>
              <w:t>取消资格的不再被抽取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663" w:type="dxa"/>
            <w:vMerge w:val="continue"/>
            <w:noWrap w:val="0"/>
            <w:vAlign w:val="center"/>
          </w:tcPr>
          <w:p>
            <w:pPr>
              <w:widowControl/>
              <w:spacing w:line="320" w:lineRule="exact"/>
              <w:jc w:val="left"/>
              <w:rPr>
                <w:color w:val="000000"/>
                <w:kern w:val="0"/>
                <w:szCs w:val="21"/>
              </w:rPr>
            </w:pPr>
          </w:p>
        </w:tc>
        <w:tc>
          <w:tcPr>
            <w:tcW w:w="600" w:type="dxa"/>
            <w:noWrap w:val="0"/>
            <w:vAlign w:val="center"/>
          </w:tcPr>
          <w:p>
            <w:pPr>
              <w:widowControl/>
              <w:spacing w:line="320" w:lineRule="exact"/>
              <w:jc w:val="center"/>
              <w:rPr>
                <w:color w:val="000000"/>
                <w:kern w:val="0"/>
                <w:szCs w:val="21"/>
                <w:lang w:val="en"/>
              </w:rPr>
            </w:pPr>
            <w:r>
              <w:rPr>
                <w:color w:val="000000"/>
                <w:kern w:val="0"/>
                <w:szCs w:val="21"/>
              </w:rPr>
              <w:t>19</w:t>
            </w:r>
          </w:p>
        </w:tc>
        <w:tc>
          <w:tcPr>
            <w:tcW w:w="2552" w:type="dxa"/>
            <w:noWrap w:val="0"/>
            <w:vAlign w:val="center"/>
          </w:tcPr>
          <w:p>
            <w:pPr>
              <w:widowControl/>
              <w:spacing w:line="320" w:lineRule="exact"/>
              <w:rPr>
                <w:color w:val="000000"/>
                <w:kern w:val="0"/>
                <w:szCs w:val="21"/>
              </w:rPr>
            </w:pPr>
            <w:r>
              <w:rPr>
                <w:color w:val="000000"/>
                <w:kern w:val="0"/>
                <w:szCs w:val="21"/>
              </w:rPr>
              <w:t>在评标过程中出现评标打分</w:t>
            </w:r>
            <w:r>
              <w:rPr>
                <w:rFonts w:hint="eastAsia"/>
                <w:color w:val="000000"/>
                <w:kern w:val="0"/>
                <w:szCs w:val="21"/>
              </w:rPr>
              <w:t>异常</w:t>
            </w:r>
            <w:r>
              <w:rPr>
                <w:color w:val="000000"/>
                <w:kern w:val="0"/>
                <w:szCs w:val="21"/>
              </w:rPr>
              <w:t>、汇总计算错误，或在评标报告上不署名、不提评审意见，在复核（评）时无正当理由修改主观分等</w:t>
            </w:r>
            <w:r>
              <w:rPr>
                <w:color w:val="000000"/>
                <w:kern w:val="0"/>
                <w:szCs w:val="21"/>
                <w:lang w:val="en"/>
              </w:rPr>
              <w:t>行为</w:t>
            </w:r>
          </w:p>
        </w:tc>
        <w:tc>
          <w:tcPr>
            <w:tcW w:w="2503" w:type="dxa"/>
            <w:noWrap w:val="0"/>
            <w:vAlign w:val="center"/>
          </w:tcPr>
          <w:p>
            <w:pPr>
              <w:widowControl/>
              <w:spacing w:line="320" w:lineRule="exact"/>
              <w:rPr>
                <w:color w:val="000000"/>
                <w:spacing w:val="-4"/>
                <w:kern w:val="0"/>
                <w:szCs w:val="21"/>
              </w:rPr>
            </w:pPr>
            <w:r>
              <w:rPr>
                <w:color w:val="000000"/>
                <w:spacing w:val="-4"/>
                <w:kern w:val="0"/>
                <w:szCs w:val="21"/>
              </w:rPr>
              <w:t>招标项目的行政监督部门</w:t>
            </w:r>
          </w:p>
        </w:tc>
        <w:tc>
          <w:tcPr>
            <w:tcW w:w="3828" w:type="dxa"/>
            <w:noWrap w:val="0"/>
            <w:vAlign w:val="center"/>
          </w:tcPr>
          <w:p>
            <w:pPr>
              <w:widowControl/>
              <w:spacing w:line="320" w:lineRule="exact"/>
              <w:rPr>
                <w:color w:val="000000"/>
                <w:kern w:val="0"/>
                <w:szCs w:val="21"/>
              </w:rPr>
            </w:pPr>
            <w:r>
              <w:rPr>
                <w:color w:val="000000"/>
                <w:kern w:val="0"/>
                <w:szCs w:val="21"/>
              </w:rPr>
              <w:t>集中</w:t>
            </w:r>
            <w:r>
              <w:rPr>
                <w:color w:val="000000"/>
                <w:kern w:val="0"/>
                <w:szCs w:val="21"/>
                <w:lang w:val="en"/>
              </w:rPr>
              <w:t>公告</w:t>
            </w:r>
          </w:p>
        </w:tc>
        <w:tc>
          <w:tcPr>
            <w:tcW w:w="2725" w:type="dxa"/>
            <w:noWrap w:val="0"/>
            <w:vAlign w:val="center"/>
          </w:tcPr>
          <w:p>
            <w:pPr>
              <w:widowControl/>
              <w:spacing w:line="320" w:lineRule="exact"/>
              <w:rPr>
                <w:color w:val="000000"/>
                <w:kern w:val="0"/>
                <w:szCs w:val="21"/>
              </w:rPr>
            </w:pPr>
            <w:r>
              <w:rPr>
                <w:color w:val="000000"/>
                <w:kern w:val="0"/>
                <w:szCs w:val="21"/>
              </w:rPr>
              <w:t>考评认定为不称职</w:t>
            </w:r>
          </w:p>
        </w:tc>
        <w:tc>
          <w:tcPr>
            <w:tcW w:w="2162" w:type="dxa"/>
            <w:noWrap w:val="0"/>
            <w:vAlign w:val="center"/>
          </w:tcPr>
          <w:p>
            <w:pPr>
              <w:widowControl/>
              <w:spacing w:line="320" w:lineRule="exact"/>
              <w:rPr>
                <w:color w:val="000000"/>
                <w:kern w:val="0"/>
                <w:szCs w:val="21"/>
                <w:lang w:val="en"/>
              </w:rPr>
            </w:pPr>
            <w:r>
              <w:rPr>
                <w:color w:val="000000"/>
                <w:kern w:val="0"/>
                <w:szCs w:val="21"/>
                <w:lang w:val="en"/>
              </w:rPr>
              <w:t>不称职的6个月内不得被抽取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2" w:hRule="atLeast"/>
          <w:jc w:val="center"/>
        </w:trPr>
        <w:tc>
          <w:tcPr>
            <w:tcW w:w="663" w:type="dxa"/>
            <w:vMerge w:val="continue"/>
            <w:noWrap w:val="0"/>
            <w:vAlign w:val="center"/>
          </w:tcPr>
          <w:p>
            <w:pPr>
              <w:widowControl/>
              <w:spacing w:line="320" w:lineRule="exact"/>
              <w:jc w:val="left"/>
              <w:rPr>
                <w:color w:val="000000"/>
                <w:kern w:val="0"/>
                <w:szCs w:val="21"/>
              </w:rPr>
            </w:pPr>
          </w:p>
        </w:tc>
        <w:tc>
          <w:tcPr>
            <w:tcW w:w="600" w:type="dxa"/>
            <w:noWrap w:val="0"/>
            <w:vAlign w:val="center"/>
          </w:tcPr>
          <w:p>
            <w:pPr>
              <w:widowControl/>
              <w:spacing w:line="320" w:lineRule="exact"/>
              <w:jc w:val="center"/>
              <w:rPr>
                <w:color w:val="000000"/>
                <w:kern w:val="0"/>
                <w:szCs w:val="21"/>
              </w:rPr>
            </w:pPr>
            <w:r>
              <w:rPr>
                <w:color w:val="000000"/>
                <w:kern w:val="0"/>
                <w:szCs w:val="21"/>
              </w:rPr>
              <w:t>2</w:t>
            </w:r>
            <w:r>
              <w:rPr>
                <w:rFonts w:hint="eastAsia"/>
                <w:color w:val="000000"/>
                <w:kern w:val="0"/>
                <w:szCs w:val="21"/>
              </w:rPr>
              <w:t>0</w:t>
            </w:r>
          </w:p>
        </w:tc>
        <w:tc>
          <w:tcPr>
            <w:tcW w:w="2552" w:type="dxa"/>
            <w:noWrap w:val="0"/>
            <w:vAlign w:val="center"/>
          </w:tcPr>
          <w:p>
            <w:pPr>
              <w:widowControl/>
              <w:spacing w:line="320" w:lineRule="exact"/>
              <w:rPr>
                <w:color w:val="000000"/>
                <w:kern w:val="0"/>
                <w:szCs w:val="21"/>
              </w:rPr>
            </w:pPr>
            <w:r>
              <w:rPr>
                <w:color w:val="000000"/>
                <w:kern w:val="0"/>
                <w:szCs w:val="21"/>
              </w:rPr>
              <w:t>在评标过程中进行倾向性、诱导性发言</w:t>
            </w:r>
          </w:p>
        </w:tc>
        <w:tc>
          <w:tcPr>
            <w:tcW w:w="2503" w:type="dxa"/>
            <w:noWrap w:val="0"/>
            <w:vAlign w:val="center"/>
          </w:tcPr>
          <w:p>
            <w:pPr>
              <w:widowControl/>
              <w:spacing w:line="320" w:lineRule="exact"/>
              <w:rPr>
                <w:color w:val="000000"/>
                <w:spacing w:val="-4"/>
                <w:kern w:val="0"/>
                <w:szCs w:val="21"/>
              </w:rPr>
            </w:pPr>
            <w:r>
              <w:rPr>
                <w:color w:val="000000"/>
                <w:spacing w:val="-4"/>
                <w:kern w:val="0"/>
                <w:szCs w:val="21"/>
              </w:rPr>
              <w:t>招标项目的行政监督部门</w:t>
            </w:r>
          </w:p>
        </w:tc>
        <w:tc>
          <w:tcPr>
            <w:tcW w:w="3828" w:type="dxa"/>
            <w:noWrap w:val="0"/>
            <w:vAlign w:val="center"/>
          </w:tcPr>
          <w:p>
            <w:pPr>
              <w:widowControl/>
              <w:spacing w:line="320" w:lineRule="exact"/>
              <w:rPr>
                <w:color w:val="000000"/>
                <w:kern w:val="0"/>
                <w:szCs w:val="21"/>
              </w:rPr>
            </w:pPr>
            <w:r>
              <w:rPr>
                <w:color w:val="000000"/>
                <w:kern w:val="0"/>
                <w:szCs w:val="21"/>
              </w:rPr>
              <w:t>1、对评标工作未造成不良影响的，给予</w:t>
            </w:r>
            <w:r>
              <w:rPr>
                <w:color w:val="000000"/>
                <w:kern w:val="0"/>
                <w:szCs w:val="21"/>
                <w:lang w:val="en"/>
              </w:rPr>
              <w:t>警示</w:t>
            </w:r>
            <w:r>
              <w:rPr>
                <w:color w:val="000000"/>
                <w:kern w:val="0"/>
                <w:szCs w:val="21"/>
              </w:rPr>
              <w:t xml:space="preserve"> </w:t>
            </w:r>
          </w:p>
          <w:p>
            <w:pPr>
              <w:widowControl/>
              <w:spacing w:line="320" w:lineRule="exact"/>
              <w:rPr>
                <w:color w:val="000000"/>
                <w:kern w:val="0"/>
                <w:szCs w:val="21"/>
                <w:lang w:val="en"/>
              </w:rPr>
            </w:pPr>
            <w:r>
              <w:rPr>
                <w:color w:val="000000"/>
                <w:kern w:val="0"/>
                <w:szCs w:val="21"/>
              </w:rPr>
              <w:t>2、对评标工作造成不良影响的，</w:t>
            </w:r>
            <w:r>
              <w:rPr>
                <w:color w:val="000000"/>
                <w:kern w:val="0"/>
                <w:szCs w:val="21"/>
                <w:lang w:val="en"/>
              </w:rPr>
              <w:t>情节轻微的，</w:t>
            </w:r>
            <w:r>
              <w:rPr>
                <w:color w:val="000000"/>
                <w:kern w:val="0"/>
                <w:szCs w:val="21"/>
              </w:rPr>
              <w:t>给予集中</w:t>
            </w:r>
            <w:r>
              <w:rPr>
                <w:color w:val="000000"/>
                <w:kern w:val="0"/>
                <w:szCs w:val="21"/>
                <w:lang w:val="en"/>
              </w:rPr>
              <w:t>公告</w:t>
            </w:r>
          </w:p>
          <w:p>
            <w:pPr>
              <w:widowControl/>
              <w:spacing w:line="320" w:lineRule="exact"/>
              <w:rPr>
                <w:color w:val="000000"/>
                <w:kern w:val="0"/>
                <w:szCs w:val="21"/>
                <w:lang w:val="en"/>
              </w:rPr>
            </w:pPr>
            <w:r>
              <w:rPr>
                <w:color w:val="000000"/>
                <w:kern w:val="0"/>
                <w:szCs w:val="21"/>
                <w:lang w:val="en"/>
              </w:rPr>
              <w:t>3</w:t>
            </w:r>
            <w:r>
              <w:rPr>
                <w:color w:val="000000"/>
                <w:kern w:val="0"/>
                <w:szCs w:val="21"/>
              </w:rPr>
              <w:t>、对评标工作造成</w:t>
            </w:r>
            <w:r>
              <w:rPr>
                <w:color w:val="000000"/>
                <w:kern w:val="0"/>
                <w:szCs w:val="21"/>
                <w:lang w:val="en"/>
              </w:rPr>
              <w:t>不良</w:t>
            </w:r>
            <w:r>
              <w:rPr>
                <w:color w:val="000000"/>
                <w:kern w:val="0"/>
                <w:szCs w:val="21"/>
              </w:rPr>
              <w:t>影响</w:t>
            </w:r>
            <w:r>
              <w:rPr>
                <w:color w:val="000000"/>
                <w:kern w:val="0"/>
                <w:szCs w:val="21"/>
                <w:lang w:val="en"/>
              </w:rPr>
              <w:t>，情节严重的，暂停评标</w:t>
            </w:r>
            <w:r>
              <w:rPr>
                <w:color w:val="000000"/>
                <w:kern w:val="0"/>
                <w:szCs w:val="21"/>
              </w:rPr>
              <w:t>1</w:t>
            </w:r>
            <w:r>
              <w:rPr>
                <w:color w:val="000000"/>
                <w:kern w:val="0"/>
                <w:szCs w:val="21"/>
                <w:lang w:val="en"/>
              </w:rPr>
              <w:t>年</w:t>
            </w:r>
          </w:p>
        </w:tc>
        <w:tc>
          <w:tcPr>
            <w:tcW w:w="2725" w:type="dxa"/>
            <w:noWrap w:val="0"/>
            <w:vAlign w:val="center"/>
          </w:tcPr>
          <w:p>
            <w:pPr>
              <w:widowControl/>
              <w:spacing w:line="320" w:lineRule="exact"/>
              <w:rPr>
                <w:color w:val="000000"/>
                <w:kern w:val="0"/>
                <w:szCs w:val="21"/>
                <w:lang w:val="en"/>
              </w:rPr>
            </w:pPr>
            <w:r>
              <w:rPr>
                <w:color w:val="000000"/>
                <w:kern w:val="0"/>
                <w:szCs w:val="21"/>
              </w:rPr>
              <w:t>1、给予</w:t>
            </w:r>
            <w:r>
              <w:rPr>
                <w:color w:val="000000"/>
                <w:kern w:val="0"/>
                <w:szCs w:val="21"/>
                <w:lang w:val="en"/>
              </w:rPr>
              <w:t>警示</w:t>
            </w:r>
            <w:r>
              <w:rPr>
                <w:color w:val="000000"/>
                <w:kern w:val="0"/>
                <w:szCs w:val="21"/>
              </w:rPr>
              <w:t>处理的，考评认定为基本称职；2、给予集中</w:t>
            </w:r>
            <w:r>
              <w:rPr>
                <w:color w:val="000000"/>
                <w:kern w:val="0"/>
                <w:szCs w:val="21"/>
                <w:lang w:val="en"/>
              </w:rPr>
              <w:t>公告</w:t>
            </w:r>
            <w:r>
              <w:rPr>
                <w:color w:val="000000"/>
                <w:kern w:val="0"/>
                <w:szCs w:val="21"/>
              </w:rPr>
              <w:t>处理的，考评认定为不称职</w:t>
            </w:r>
            <w:r>
              <w:rPr>
                <w:color w:val="000000"/>
                <w:kern w:val="0"/>
                <w:szCs w:val="21"/>
                <w:lang w:val="en"/>
              </w:rPr>
              <w:t>；3</w:t>
            </w:r>
            <w:r>
              <w:rPr>
                <w:color w:val="000000"/>
                <w:kern w:val="0"/>
                <w:szCs w:val="21"/>
              </w:rPr>
              <w:t>、给予暂停评标1年处理的，年度综合考核为不合格</w:t>
            </w:r>
          </w:p>
        </w:tc>
        <w:tc>
          <w:tcPr>
            <w:tcW w:w="2162" w:type="dxa"/>
            <w:noWrap w:val="0"/>
            <w:vAlign w:val="center"/>
          </w:tcPr>
          <w:p>
            <w:pPr>
              <w:widowControl/>
              <w:spacing w:line="320" w:lineRule="exact"/>
              <w:rPr>
                <w:color w:val="000000"/>
                <w:kern w:val="0"/>
                <w:szCs w:val="21"/>
                <w:lang w:val="en"/>
              </w:rPr>
            </w:pPr>
            <w:r>
              <w:rPr>
                <w:color w:val="000000"/>
                <w:kern w:val="0"/>
                <w:szCs w:val="21"/>
                <w:lang w:val="en"/>
              </w:rPr>
              <w:t>1、基本称职的</w:t>
            </w:r>
            <w:r>
              <w:rPr>
                <w:color w:val="000000"/>
                <w:kern w:val="0"/>
                <w:szCs w:val="21"/>
              </w:rPr>
              <w:t>3</w:t>
            </w:r>
            <w:r>
              <w:rPr>
                <w:color w:val="000000"/>
                <w:kern w:val="0"/>
                <w:szCs w:val="21"/>
                <w:lang w:val="en"/>
              </w:rPr>
              <w:t>个月内不得被抽取；2、不称职的6个月内不得被抽取；3、不合格的1年内不得被抽取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663" w:type="dxa"/>
            <w:vMerge w:val="continue"/>
            <w:noWrap w:val="0"/>
            <w:vAlign w:val="center"/>
          </w:tcPr>
          <w:p>
            <w:pPr>
              <w:widowControl/>
              <w:spacing w:line="320" w:lineRule="exact"/>
              <w:jc w:val="left"/>
              <w:rPr>
                <w:color w:val="000000"/>
                <w:kern w:val="0"/>
                <w:szCs w:val="21"/>
              </w:rPr>
            </w:pPr>
          </w:p>
        </w:tc>
        <w:tc>
          <w:tcPr>
            <w:tcW w:w="600" w:type="dxa"/>
            <w:noWrap w:val="0"/>
            <w:vAlign w:val="center"/>
          </w:tcPr>
          <w:p>
            <w:pPr>
              <w:widowControl/>
              <w:spacing w:line="320" w:lineRule="exact"/>
              <w:jc w:val="center"/>
              <w:rPr>
                <w:color w:val="000000"/>
                <w:kern w:val="0"/>
                <w:szCs w:val="21"/>
              </w:rPr>
            </w:pPr>
            <w:r>
              <w:rPr>
                <w:color w:val="000000"/>
                <w:kern w:val="0"/>
                <w:szCs w:val="21"/>
              </w:rPr>
              <w:t>2</w:t>
            </w:r>
            <w:r>
              <w:rPr>
                <w:rFonts w:hint="eastAsia"/>
                <w:color w:val="000000"/>
                <w:kern w:val="0"/>
                <w:szCs w:val="21"/>
              </w:rPr>
              <w:t>1</w:t>
            </w:r>
          </w:p>
        </w:tc>
        <w:tc>
          <w:tcPr>
            <w:tcW w:w="2552" w:type="dxa"/>
            <w:noWrap w:val="0"/>
            <w:vAlign w:val="center"/>
          </w:tcPr>
          <w:p>
            <w:pPr>
              <w:widowControl/>
              <w:spacing w:line="320" w:lineRule="exact"/>
              <w:rPr>
                <w:color w:val="000000"/>
                <w:kern w:val="0"/>
                <w:szCs w:val="21"/>
              </w:rPr>
            </w:pPr>
            <w:r>
              <w:rPr>
                <w:color w:val="000000"/>
                <w:kern w:val="0"/>
                <w:szCs w:val="21"/>
              </w:rPr>
              <w:t>不熟悉招标投标法律法规、不熟悉电子化评标操作，</w:t>
            </w:r>
            <w:r>
              <w:rPr>
                <w:color w:val="000000"/>
                <w:kern w:val="0"/>
                <w:szCs w:val="21"/>
                <w:lang w:val="en"/>
              </w:rPr>
              <w:t>人为</w:t>
            </w:r>
            <w:r>
              <w:rPr>
                <w:color w:val="000000"/>
                <w:kern w:val="0"/>
                <w:szCs w:val="21"/>
              </w:rPr>
              <w:t>导致评标结果错误</w:t>
            </w:r>
          </w:p>
        </w:tc>
        <w:tc>
          <w:tcPr>
            <w:tcW w:w="2503" w:type="dxa"/>
            <w:noWrap w:val="0"/>
            <w:vAlign w:val="center"/>
          </w:tcPr>
          <w:p>
            <w:pPr>
              <w:widowControl/>
              <w:spacing w:line="320" w:lineRule="exact"/>
              <w:rPr>
                <w:color w:val="000000"/>
                <w:spacing w:val="-4"/>
                <w:kern w:val="0"/>
                <w:szCs w:val="21"/>
              </w:rPr>
            </w:pPr>
            <w:r>
              <w:rPr>
                <w:color w:val="000000"/>
                <w:spacing w:val="-4"/>
                <w:kern w:val="0"/>
                <w:szCs w:val="21"/>
              </w:rPr>
              <w:t>招标项目的行政监督部门</w:t>
            </w:r>
          </w:p>
        </w:tc>
        <w:tc>
          <w:tcPr>
            <w:tcW w:w="3828" w:type="dxa"/>
            <w:noWrap w:val="0"/>
            <w:vAlign w:val="center"/>
          </w:tcPr>
          <w:p>
            <w:pPr>
              <w:widowControl/>
              <w:spacing w:line="320" w:lineRule="exact"/>
              <w:rPr>
                <w:color w:val="000000"/>
                <w:kern w:val="0"/>
                <w:szCs w:val="21"/>
              </w:rPr>
            </w:pPr>
            <w:r>
              <w:rPr>
                <w:color w:val="000000"/>
                <w:kern w:val="0"/>
                <w:szCs w:val="21"/>
              </w:rPr>
              <w:t>集中</w:t>
            </w:r>
            <w:r>
              <w:rPr>
                <w:color w:val="000000"/>
                <w:kern w:val="0"/>
                <w:szCs w:val="21"/>
                <w:lang w:val="en"/>
              </w:rPr>
              <w:t>公告</w:t>
            </w:r>
          </w:p>
        </w:tc>
        <w:tc>
          <w:tcPr>
            <w:tcW w:w="2725" w:type="dxa"/>
            <w:noWrap w:val="0"/>
            <w:vAlign w:val="center"/>
          </w:tcPr>
          <w:p>
            <w:pPr>
              <w:widowControl/>
              <w:spacing w:line="320" w:lineRule="exact"/>
              <w:rPr>
                <w:color w:val="000000"/>
                <w:kern w:val="0"/>
                <w:szCs w:val="21"/>
              </w:rPr>
            </w:pPr>
            <w:r>
              <w:rPr>
                <w:color w:val="000000"/>
                <w:kern w:val="0"/>
                <w:szCs w:val="21"/>
              </w:rPr>
              <w:t xml:space="preserve">考评认定为不称职 </w:t>
            </w:r>
          </w:p>
        </w:tc>
        <w:tc>
          <w:tcPr>
            <w:tcW w:w="2162" w:type="dxa"/>
            <w:noWrap w:val="0"/>
            <w:vAlign w:val="center"/>
          </w:tcPr>
          <w:p>
            <w:pPr>
              <w:widowControl/>
              <w:spacing w:line="320" w:lineRule="exact"/>
              <w:rPr>
                <w:color w:val="000000"/>
                <w:kern w:val="0"/>
                <w:szCs w:val="21"/>
                <w:lang w:val="en"/>
              </w:rPr>
            </w:pPr>
            <w:r>
              <w:rPr>
                <w:color w:val="000000"/>
                <w:kern w:val="0"/>
                <w:szCs w:val="21"/>
                <w:lang w:val="en"/>
              </w:rPr>
              <w:t>不称职的6个月内不得被抽取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663" w:type="dxa"/>
            <w:vMerge w:val="restart"/>
            <w:noWrap w:val="0"/>
            <w:vAlign w:val="center"/>
          </w:tcPr>
          <w:p>
            <w:pPr>
              <w:spacing w:line="320" w:lineRule="exact"/>
              <w:jc w:val="left"/>
              <w:rPr>
                <w:color w:val="000000"/>
                <w:kern w:val="0"/>
                <w:szCs w:val="21"/>
              </w:rPr>
            </w:pPr>
            <w:r>
              <w:rPr>
                <w:color w:val="000000"/>
                <w:kern w:val="0"/>
                <w:szCs w:val="21"/>
              </w:rPr>
              <w:t>违规行为</w:t>
            </w:r>
          </w:p>
        </w:tc>
        <w:tc>
          <w:tcPr>
            <w:tcW w:w="600" w:type="dxa"/>
            <w:noWrap w:val="0"/>
            <w:vAlign w:val="center"/>
          </w:tcPr>
          <w:p>
            <w:pPr>
              <w:widowControl/>
              <w:spacing w:line="320" w:lineRule="exact"/>
              <w:jc w:val="center"/>
              <w:rPr>
                <w:color w:val="000000"/>
                <w:kern w:val="0"/>
                <w:szCs w:val="21"/>
              </w:rPr>
            </w:pPr>
            <w:r>
              <w:rPr>
                <w:color w:val="000000"/>
                <w:kern w:val="0"/>
                <w:szCs w:val="21"/>
              </w:rPr>
              <w:t>22</w:t>
            </w:r>
          </w:p>
        </w:tc>
        <w:tc>
          <w:tcPr>
            <w:tcW w:w="2552" w:type="dxa"/>
            <w:noWrap w:val="0"/>
            <w:vAlign w:val="center"/>
          </w:tcPr>
          <w:p>
            <w:pPr>
              <w:widowControl/>
              <w:spacing w:line="320" w:lineRule="exact"/>
              <w:rPr>
                <w:color w:val="000000"/>
                <w:kern w:val="0"/>
                <w:szCs w:val="21"/>
              </w:rPr>
            </w:pPr>
            <w:r>
              <w:rPr>
                <w:color w:val="000000"/>
                <w:kern w:val="0"/>
                <w:szCs w:val="21"/>
              </w:rPr>
              <w:t>不配合招标人组织的复核</w:t>
            </w:r>
            <w:r>
              <w:rPr>
                <w:color w:val="000000"/>
                <w:kern w:val="0"/>
                <w:szCs w:val="21"/>
                <w:lang w:val="en"/>
              </w:rPr>
              <w:t>、复评</w:t>
            </w:r>
            <w:r>
              <w:rPr>
                <w:color w:val="000000"/>
                <w:kern w:val="0"/>
                <w:szCs w:val="21"/>
              </w:rPr>
              <w:t>工作</w:t>
            </w:r>
          </w:p>
        </w:tc>
        <w:tc>
          <w:tcPr>
            <w:tcW w:w="2503" w:type="dxa"/>
            <w:noWrap w:val="0"/>
            <w:vAlign w:val="center"/>
          </w:tcPr>
          <w:p>
            <w:pPr>
              <w:widowControl/>
              <w:spacing w:line="320" w:lineRule="exact"/>
              <w:rPr>
                <w:color w:val="000000"/>
                <w:spacing w:val="-4"/>
                <w:kern w:val="0"/>
                <w:szCs w:val="21"/>
              </w:rPr>
            </w:pPr>
            <w:r>
              <w:rPr>
                <w:color w:val="000000"/>
                <w:spacing w:val="-4"/>
                <w:kern w:val="0"/>
                <w:szCs w:val="21"/>
              </w:rPr>
              <w:t>招标项目的行政监督部门</w:t>
            </w:r>
          </w:p>
        </w:tc>
        <w:tc>
          <w:tcPr>
            <w:tcW w:w="3828" w:type="dxa"/>
            <w:noWrap w:val="0"/>
            <w:vAlign w:val="center"/>
          </w:tcPr>
          <w:p>
            <w:pPr>
              <w:widowControl/>
              <w:spacing w:line="320" w:lineRule="exact"/>
              <w:rPr>
                <w:color w:val="000000"/>
                <w:kern w:val="0"/>
                <w:szCs w:val="21"/>
              </w:rPr>
            </w:pPr>
            <w:r>
              <w:rPr>
                <w:color w:val="000000"/>
                <w:kern w:val="0"/>
                <w:szCs w:val="21"/>
              </w:rPr>
              <w:t>集中</w:t>
            </w:r>
            <w:r>
              <w:rPr>
                <w:color w:val="000000"/>
                <w:kern w:val="0"/>
                <w:szCs w:val="21"/>
                <w:lang w:val="en"/>
              </w:rPr>
              <w:t>公告</w:t>
            </w:r>
          </w:p>
        </w:tc>
        <w:tc>
          <w:tcPr>
            <w:tcW w:w="2725" w:type="dxa"/>
            <w:noWrap w:val="0"/>
            <w:vAlign w:val="center"/>
          </w:tcPr>
          <w:p>
            <w:pPr>
              <w:widowControl/>
              <w:spacing w:line="320" w:lineRule="exact"/>
              <w:rPr>
                <w:color w:val="000000"/>
                <w:kern w:val="0"/>
                <w:szCs w:val="21"/>
              </w:rPr>
            </w:pPr>
            <w:r>
              <w:rPr>
                <w:color w:val="000000"/>
                <w:kern w:val="0"/>
                <w:szCs w:val="21"/>
              </w:rPr>
              <w:t>考评认定为不称职</w:t>
            </w:r>
          </w:p>
        </w:tc>
        <w:tc>
          <w:tcPr>
            <w:tcW w:w="2162" w:type="dxa"/>
            <w:noWrap w:val="0"/>
            <w:vAlign w:val="center"/>
          </w:tcPr>
          <w:p>
            <w:pPr>
              <w:widowControl/>
              <w:spacing w:line="320" w:lineRule="exact"/>
              <w:rPr>
                <w:color w:val="000000"/>
                <w:kern w:val="0"/>
                <w:szCs w:val="21"/>
              </w:rPr>
            </w:pPr>
            <w:r>
              <w:rPr>
                <w:color w:val="000000"/>
                <w:kern w:val="0"/>
                <w:szCs w:val="21"/>
                <w:lang w:val="en"/>
              </w:rPr>
              <w:t>不称职的6个月内不得被抽取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663" w:type="dxa"/>
            <w:vMerge w:val="continue"/>
            <w:noWrap w:val="0"/>
            <w:vAlign w:val="center"/>
          </w:tcPr>
          <w:p>
            <w:pPr>
              <w:spacing w:line="320" w:lineRule="exact"/>
              <w:jc w:val="left"/>
              <w:rPr>
                <w:color w:val="000000"/>
                <w:kern w:val="0"/>
                <w:szCs w:val="21"/>
              </w:rPr>
            </w:pPr>
          </w:p>
        </w:tc>
        <w:tc>
          <w:tcPr>
            <w:tcW w:w="600" w:type="dxa"/>
            <w:noWrap w:val="0"/>
            <w:vAlign w:val="center"/>
          </w:tcPr>
          <w:p>
            <w:pPr>
              <w:widowControl/>
              <w:spacing w:line="320" w:lineRule="exact"/>
              <w:jc w:val="center"/>
              <w:rPr>
                <w:color w:val="000000"/>
                <w:kern w:val="0"/>
                <w:szCs w:val="21"/>
              </w:rPr>
            </w:pPr>
            <w:r>
              <w:rPr>
                <w:color w:val="000000"/>
                <w:kern w:val="0"/>
                <w:szCs w:val="21"/>
              </w:rPr>
              <w:t>23</w:t>
            </w:r>
          </w:p>
        </w:tc>
        <w:tc>
          <w:tcPr>
            <w:tcW w:w="2552" w:type="dxa"/>
            <w:noWrap w:val="0"/>
            <w:vAlign w:val="center"/>
          </w:tcPr>
          <w:p>
            <w:pPr>
              <w:widowControl/>
              <w:spacing w:line="320" w:lineRule="exact"/>
              <w:rPr>
                <w:color w:val="000000"/>
                <w:kern w:val="0"/>
                <w:szCs w:val="21"/>
              </w:rPr>
            </w:pPr>
            <w:r>
              <w:rPr>
                <w:color w:val="000000"/>
                <w:kern w:val="0"/>
                <w:szCs w:val="21"/>
              </w:rPr>
              <w:t>拒不接受、协助、配合有关行政主管部门的监督、检查、调查处理或者案件查办</w:t>
            </w:r>
          </w:p>
        </w:tc>
        <w:tc>
          <w:tcPr>
            <w:tcW w:w="2503" w:type="dxa"/>
            <w:noWrap w:val="0"/>
            <w:vAlign w:val="center"/>
          </w:tcPr>
          <w:p>
            <w:pPr>
              <w:widowControl/>
              <w:spacing w:line="320" w:lineRule="exact"/>
              <w:rPr>
                <w:color w:val="000000"/>
                <w:spacing w:val="-4"/>
                <w:kern w:val="0"/>
                <w:szCs w:val="21"/>
              </w:rPr>
            </w:pPr>
            <w:r>
              <w:rPr>
                <w:color w:val="000000"/>
                <w:spacing w:val="-4"/>
                <w:kern w:val="0"/>
                <w:szCs w:val="21"/>
              </w:rPr>
              <w:t>招标项目的行政监督部门</w:t>
            </w:r>
          </w:p>
        </w:tc>
        <w:tc>
          <w:tcPr>
            <w:tcW w:w="3828" w:type="dxa"/>
            <w:noWrap w:val="0"/>
            <w:vAlign w:val="center"/>
          </w:tcPr>
          <w:p>
            <w:pPr>
              <w:widowControl/>
              <w:spacing w:line="320" w:lineRule="exact"/>
              <w:rPr>
                <w:color w:val="000000"/>
                <w:kern w:val="0"/>
                <w:szCs w:val="21"/>
              </w:rPr>
            </w:pPr>
            <w:r>
              <w:rPr>
                <w:color w:val="000000"/>
                <w:kern w:val="0"/>
                <w:szCs w:val="21"/>
              </w:rPr>
              <w:t>1、暂停评标1年</w:t>
            </w:r>
          </w:p>
          <w:p>
            <w:pPr>
              <w:widowControl/>
              <w:spacing w:line="320" w:lineRule="exact"/>
              <w:rPr>
                <w:color w:val="000000"/>
                <w:kern w:val="0"/>
                <w:szCs w:val="21"/>
              </w:rPr>
            </w:pPr>
            <w:r>
              <w:rPr>
                <w:color w:val="000000"/>
                <w:kern w:val="0"/>
                <w:szCs w:val="21"/>
              </w:rPr>
              <w:t>2、在有关部门处理投诉、查办案件调查有关情况，提供虚假情况或者作伪证的，予以解聘</w:t>
            </w:r>
          </w:p>
        </w:tc>
        <w:tc>
          <w:tcPr>
            <w:tcW w:w="2725" w:type="dxa"/>
            <w:noWrap w:val="0"/>
            <w:vAlign w:val="center"/>
          </w:tcPr>
          <w:p>
            <w:pPr>
              <w:widowControl/>
              <w:spacing w:line="320" w:lineRule="exact"/>
              <w:rPr>
                <w:color w:val="000000"/>
                <w:kern w:val="0"/>
                <w:szCs w:val="21"/>
              </w:rPr>
            </w:pPr>
            <w:r>
              <w:rPr>
                <w:color w:val="000000"/>
                <w:kern w:val="0"/>
                <w:szCs w:val="21"/>
              </w:rPr>
              <w:t>1、给予暂停评标1年处理的，年度综合考核为不合格</w:t>
            </w:r>
          </w:p>
          <w:p>
            <w:pPr>
              <w:widowControl/>
              <w:spacing w:line="320" w:lineRule="exact"/>
              <w:rPr>
                <w:color w:val="000000"/>
                <w:kern w:val="0"/>
                <w:szCs w:val="21"/>
              </w:rPr>
            </w:pPr>
            <w:r>
              <w:rPr>
                <w:color w:val="000000"/>
                <w:kern w:val="0"/>
                <w:szCs w:val="21"/>
              </w:rPr>
              <w:t>2、予以解聘的，取消年度综合考核资格</w:t>
            </w:r>
          </w:p>
        </w:tc>
        <w:tc>
          <w:tcPr>
            <w:tcW w:w="2162" w:type="dxa"/>
            <w:noWrap w:val="0"/>
            <w:vAlign w:val="center"/>
          </w:tcPr>
          <w:p>
            <w:pPr>
              <w:widowControl/>
              <w:spacing w:line="320" w:lineRule="exact"/>
              <w:rPr>
                <w:color w:val="000000"/>
                <w:kern w:val="0"/>
                <w:szCs w:val="21"/>
              </w:rPr>
            </w:pPr>
            <w:r>
              <w:rPr>
                <w:color w:val="000000"/>
                <w:kern w:val="0"/>
                <w:szCs w:val="21"/>
                <w:lang w:val="en"/>
              </w:rPr>
              <w:t>1、不合格的1年内不得被抽取；2、取消资格的不再被抽取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63" w:type="dxa"/>
            <w:vMerge w:val="continue"/>
            <w:noWrap w:val="0"/>
            <w:vAlign w:val="center"/>
          </w:tcPr>
          <w:p>
            <w:pPr>
              <w:spacing w:line="320" w:lineRule="exact"/>
              <w:jc w:val="left"/>
              <w:rPr>
                <w:color w:val="000000"/>
                <w:kern w:val="0"/>
                <w:szCs w:val="21"/>
              </w:rPr>
            </w:pPr>
          </w:p>
        </w:tc>
        <w:tc>
          <w:tcPr>
            <w:tcW w:w="600" w:type="dxa"/>
            <w:noWrap w:val="0"/>
            <w:vAlign w:val="center"/>
          </w:tcPr>
          <w:p>
            <w:pPr>
              <w:widowControl/>
              <w:spacing w:line="320" w:lineRule="exact"/>
              <w:jc w:val="center"/>
              <w:rPr>
                <w:color w:val="000000"/>
                <w:kern w:val="0"/>
                <w:szCs w:val="21"/>
              </w:rPr>
            </w:pPr>
            <w:r>
              <w:rPr>
                <w:color w:val="000000"/>
                <w:kern w:val="0"/>
                <w:szCs w:val="21"/>
              </w:rPr>
              <w:t>24</w:t>
            </w:r>
          </w:p>
        </w:tc>
        <w:tc>
          <w:tcPr>
            <w:tcW w:w="2552" w:type="dxa"/>
            <w:noWrap w:val="0"/>
            <w:vAlign w:val="center"/>
          </w:tcPr>
          <w:p>
            <w:pPr>
              <w:widowControl/>
              <w:spacing w:line="320" w:lineRule="exact"/>
              <w:rPr>
                <w:color w:val="000000"/>
                <w:kern w:val="0"/>
                <w:szCs w:val="21"/>
                <w:u w:val="single"/>
              </w:rPr>
            </w:pPr>
            <w:r>
              <w:rPr>
                <w:color w:val="000000"/>
                <w:kern w:val="0"/>
                <w:szCs w:val="21"/>
              </w:rPr>
              <w:t>在参与项目评标中发现存在被“打招呼”干扰评审工作等情形，不及时向项目行政监督部门报告</w:t>
            </w:r>
          </w:p>
        </w:tc>
        <w:tc>
          <w:tcPr>
            <w:tcW w:w="2503" w:type="dxa"/>
            <w:noWrap w:val="0"/>
            <w:vAlign w:val="center"/>
          </w:tcPr>
          <w:p>
            <w:pPr>
              <w:widowControl/>
              <w:spacing w:line="320" w:lineRule="exact"/>
              <w:rPr>
                <w:color w:val="000000"/>
                <w:spacing w:val="-4"/>
                <w:kern w:val="0"/>
                <w:szCs w:val="21"/>
              </w:rPr>
            </w:pPr>
            <w:r>
              <w:rPr>
                <w:color w:val="000000"/>
                <w:spacing w:val="-4"/>
                <w:kern w:val="0"/>
                <w:szCs w:val="21"/>
              </w:rPr>
              <w:t>招标项目的行政监督部门</w:t>
            </w:r>
          </w:p>
        </w:tc>
        <w:tc>
          <w:tcPr>
            <w:tcW w:w="3828" w:type="dxa"/>
            <w:noWrap w:val="0"/>
            <w:vAlign w:val="center"/>
          </w:tcPr>
          <w:p>
            <w:pPr>
              <w:widowControl/>
              <w:spacing w:line="320" w:lineRule="exact"/>
              <w:rPr>
                <w:color w:val="000000"/>
                <w:kern w:val="0"/>
                <w:szCs w:val="21"/>
              </w:rPr>
            </w:pPr>
            <w:r>
              <w:rPr>
                <w:color w:val="000000"/>
                <w:kern w:val="0"/>
                <w:szCs w:val="21"/>
              </w:rPr>
              <w:t>予以解聘</w:t>
            </w:r>
          </w:p>
        </w:tc>
        <w:tc>
          <w:tcPr>
            <w:tcW w:w="2725" w:type="dxa"/>
            <w:noWrap w:val="0"/>
            <w:vAlign w:val="center"/>
          </w:tcPr>
          <w:p>
            <w:pPr>
              <w:widowControl/>
              <w:spacing w:line="320" w:lineRule="exact"/>
              <w:rPr>
                <w:color w:val="000000"/>
                <w:kern w:val="0"/>
                <w:szCs w:val="21"/>
              </w:rPr>
            </w:pPr>
            <w:r>
              <w:rPr>
                <w:color w:val="000000"/>
                <w:kern w:val="0"/>
                <w:szCs w:val="21"/>
              </w:rPr>
              <w:t>予以解聘的，取消年度综合考核资格</w:t>
            </w:r>
          </w:p>
        </w:tc>
        <w:tc>
          <w:tcPr>
            <w:tcW w:w="2162" w:type="dxa"/>
            <w:noWrap w:val="0"/>
            <w:vAlign w:val="center"/>
          </w:tcPr>
          <w:p>
            <w:pPr>
              <w:widowControl/>
              <w:spacing w:line="320" w:lineRule="exact"/>
              <w:rPr>
                <w:color w:val="000000"/>
                <w:kern w:val="0"/>
                <w:szCs w:val="21"/>
                <w:lang w:val="en"/>
              </w:rPr>
            </w:pPr>
            <w:r>
              <w:rPr>
                <w:color w:val="000000"/>
                <w:kern w:val="0"/>
                <w:szCs w:val="21"/>
                <w:lang w:val="en"/>
              </w:rPr>
              <w:t>取消资格的不再被抽取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663" w:type="dxa"/>
            <w:vMerge w:val="continue"/>
            <w:noWrap w:val="0"/>
            <w:vAlign w:val="center"/>
          </w:tcPr>
          <w:p>
            <w:pPr>
              <w:spacing w:line="320" w:lineRule="exact"/>
              <w:jc w:val="left"/>
              <w:rPr>
                <w:color w:val="000000"/>
                <w:kern w:val="0"/>
                <w:szCs w:val="21"/>
              </w:rPr>
            </w:pPr>
          </w:p>
        </w:tc>
        <w:tc>
          <w:tcPr>
            <w:tcW w:w="600" w:type="dxa"/>
            <w:noWrap w:val="0"/>
            <w:vAlign w:val="center"/>
          </w:tcPr>
          <w:p>
            <w:pPr>
              <w:widowControl/>
              <w:spacing w:line="320" w:lineRule="exact"/>
              <w:jc w:val="center"/>
              <w:rPr>
                <w:color w:val="000000"/>
                <w:kern w:val="0"/>
                <w:szCs w:val="21"/>
                <w:lang w:val="en"/>
              </w:rPr>
            </w:pPr>
            <w:r>
              <w:rPr>
                <w:color w:val="000000"/>
                <w:kern w:val="0"/>
                <w:szCs w:val="21"/>
                <w:lang w:val="en"/>
              </w:rPr>
              <w:t>2</w:t>
            </w:r>
            <w:r>
              <w:rPr>
                <w:color w:val="000000"/>
                <w:kern w:val="0"/>
                <w:szCs w:val="21"/>
              </w:rPr>
              <w:t>5</w:t>
            </w:r>
          </w:p>
        </w:tc>
        <w:tc>
          <w:tcPr>
            <w:tcW w:w="2552" w:type="dxa"/>
            <w:noWrap w:val="0"/>
            <w:vAlign w:val="center"/>
          </w:tcPr>
          <w:p>
            <w:pPr>
              <w:widowControl/>
              <w:spacing w:line="320" w:lineRule="exact"/>
              <w:rPr>
                <w:color w:val="000000"/>
                <w:kern w:val="0"/>
                <w:szCs w:val="21"/>
              </w:rPr>
            </w:pPr>
            <w:r>
              <w:rPr>
                <w:color w:val="000000"/>
                <w:kern w:val="0"/>
                <w:szCs w:val="21"/>
              </w:rPr>
              <w:t>评标专家工作单位变动或联系方式发生变更</w:t>
            </w:r>
            <w:r>
              <w:rPr>
                <w:rFonts w:hint="eastAsia"/>
                <w:color w:val="000000"/>
                <w:kern w:val="0"/>
                <w:szCs w:val="21"/>
              </w:rPr>
              <w:t>后</w:t>
            </w:r>
            <w:r>
              <w:rPr>
                <w:color w:val="000000"/>
                <w:kern w:val="0"/>
                <w:szCs w:val="21"/>
              </w:rPr>
              <w:t>不及时更新相关信息</w:t>
            </w:r>
          </w:p>
        </w:tc>
        <w:tc>
          <w:tcPr>
            <w:tcW w:w="2503" w:type="dxa"/>
            <w:noWrap w:val="0"/>
            <w:vAlign w:val="center"/>
          </w:tcPr>
          <w:p>
            <w:pPr>
              <w:widowControl/>
              <w:spacing w:line="320" w:lineRule="exact"/>
              <w:rPr>
                <w:color w:val="000000"/>
                <w:kern w:val="0"/>
                <w:szCs w:val="21"/>
                <w:lang w:val="en"/>
              </w:rPr>
            </w:pPr>
            <w:r>
              <w:rPr>
                <w:color w:val="000000"/>
                <w:kern w:val="0"/>
                <w:szCs w:val="21"/>
              </w:rPr>
              <w:t>省发展改革委（公管办）</w:t>
            </w:r>
            <w:r>
              <w:rPr>
                <w:color w:val="000000"/>
                <w:kern w:val="0"/>
                <w:szCs w:val="21"/>
                <w:lang w:val="en"/>
              </w:rPr>
              <w:t>、</w:t>
            </w:r>
            <w:r>
              <w:rPr>
                <w:color w:val="000000"/>
                <w:kern w:val="0"/>
                <w:szCs w:val="21"/>
              </w:rPr>
              <w:t>相关行政监督部门</w:t>
            </w:r>
          </w:p>
        </w:tc>
        <w:tc>
          <w:tcPr>
            <w:tcW w:w="3828" w:type="dxa"/>
            <w:noWrap w:val="0"/>
            <w:vAlign w:val="center"/>
          </w:tcPr>
          <w:p>
            <w:pPr>
              <w:widowControl/>
              <w:spacing w:line="320" w:lineRule="exact"/>
              <w:rPr>
                <w:color w:val="000000"/>
                <w:kern w:val="0"/>
                <w:szCs w:val="21"/>
              </w:rPr>
            </w:pPr>
            <w:r>
              <w:rPr>
                <w:color w:val="000000"/>
                <w:kern w:val="0"/>
                <w:szCs w:val="21"/>
              </w:rPr>
              <w:t>集中</w:t>
            </w:r>
            <w:r>
              <w:rPr>
                <w:color w:val="000000"/>
                <w:kern w:val="0"/>
                <w:szCs w:val="21"/>
                <w:lang w:val="en"/>
              </w:rPr>
              <w:t>公告</w:t>
            </w:r>
          </w:p>
        </w:tc>
        <w:tc>
          <w:tcPr>
            <w:tcW w:w="2725" w:type="dxa"/>
            <w:noWrap w:val="0"/>
            <w:vAlign w:val="center"/>
          </w:tcPr>
          <w:p>
            <w:pPr>
              <w:widowControl/>
              <w:spacing w:line="320" w:lineRule="exact"/>
              <w:rPr>
                <w:color w:val="000000"/>
                <w:kern w:val="0"/>
                <w:szCs w:val="21"/>
              </w:rPr>
            </w:pPr>
            <w:r>
              <w:rPr>
                <w:color w:val="000000"/>
                <w:kern w:val="0"/>
                <w:szCs w:val="21"/>
              </w:rPr>
              <w:t>考评认定为不称职</w:t>
            </w:r>
          </w:p>
        </w:tc>
        <w:tc>
          <w:tcPr>
            <w:tcW w:w="2162" w:type="dxa"/>
            <w:noWrap w:val="0"/>
            <w:vAlign w:val="center"/>
          </w:tcPr>
          <w:p>
            <w:pPr>
              <w:widowControl/>
              <w:spacing w:line="320" w:lineRule="exact"/>
              <w:rPr>
                <w:color w:val="000000"/>
                <w:kern w:val="0"/>
                <w:szCs w:val="21"/>
              </w:rPr>
            </w:pPr>
            <w:r>
              <w:rPr>
                <w:color w:val="000000"/>
                <w:kern w:val="0"/>
                <w:szCs w:val="21"/>
                <w:lang w:val="en"/>
              </w:rPr>
              <w:t>不称职的6个月内不得被抽取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663" w:type="dxa"/>
            <w:vMerge w:val="continue"/>
            <w:noWrap w:val="0"/>
            <w:vAlign w:val="center"/>
          </w:tcPr>
          <w:p>
            <w:pPr>
              <w:spacing w:line="320" w:lineRule="exact"/>
              <w:jc w:val="center"/>
              <w:rPr>
                <w:color w:val="000000"/>
                <w:kern w:val="0"/>
                <w:szCs w:val="21"/>
              </w:rPr>
            </w:pPr>
          </w:p>
        </w:tc>
        <w:tc>
          <w:tcPr>
            <w:tcW w:w="600" w:type="dxa"/>
            <w:noWrap w:val="0"/>
            <w:vAlign w:val="center"/>
          </w:tcPr>
          <w:p>
            <w:pPr>
              <w:widowControl/>
              <w:spacing w:line="320" w:lineRule="exact"/>
              <w:jc w:val="center"/>
              <w:rPr>
                <w:color w:val="000000"/>
                <w:kern w:val="0"/>
                <w:szCs w:val="21"/>
              </w:rPr>
            </w:pPr>
            <w:r>
              <w:rPr>
                <w:color w:val="000000"/>
                <w:kern w:val="0"/>
                <w:szCs w:val="21"/>
              </w:rPr>
              <w:t>26</w:t>
            </w:r>
          </w:p>
        </w:tc>
        <w:tc>
          <w:tcPr>
            <w:tcW w:w="2552" w:type="dxa"/>
            <w:noWrap w:val="0"/>
            <w:vAlign w:val="center"/>
          </w:tcPr>
          <w:p>
            <w:pPr>
              <w:widowControl/>
              <w:spacing w:line="320" w:lineRule="exact"/>
              <w:rPr>
                <w:color w:val="000000"/>
                <w:kern w:val="0"/>
                <w:szCs w:val="21"/>
              </w:rPr>
            </w:pPr>
            <w:r>
              <w:rPr>
                <w:color w:val="000000"/>
                <w:kern w:val="0"/>
                <w:szCs w:val="21"/>
              </w:rPr>
              <w:t>私自建立（加入）评标专家、</w:t>
            </w:r>
            <w:r>
              <w:rPr>
                <w:rFonts w:hint="eastAsia"/>
                <w:color w:val="000000"/>
                <w:kern w:val="0"/>
                <w:szCs w:val="21"/>
              </w:rPr>
              <w:t>招</w:t>
            </w:r>
            <w:r>
              <w:rPr>
                <w:color w:val="000000"/>
                <w:kern w:val="0"/>
                <w:szCs w:val="21"/>
              </w:rPr>
              <w:t>投标</w:t>
            </w:r>
            <w:r>
              <w:rPr>
                <w:rFonts w:hint="eastAsia"/>
                <w:color w:val="000000"/>
                <w:kern w:val="0"/>
                <w:szCs w:val="21"/>
              </w:rPr>
              <w:t>单位、招标代理机构</w:t>
            </w:r>
            <w:r>
              <w:rPr>
                <w:color w:val="000000"/>
                <w:kern w:val="0"/>
                <w:szCs w:val="21"/>
              </w:rPr>
              <w:t>等微信群、QQ群等社交媒体平台</w:t>
            </w:r>
          </w:p>
        </w:tc>
        <w:tc>
          <w:tcPr>
            <w:tcW w:w="2503" w:type="dxa"/>
            <w:noWrap w:val="0"/>
            <w:vAlign w:val="center"/>
          </w:tcPr>
          <w:p>
            <w:pPr>
              <w:widowControl/>
              <w:spacing w:line="320" w:lineRule="exact"/>
              <w:rPr>
                <w:color w:val="000000"/>
                <w:kern w:val="0"/>
                <w:szCs w:val="21"/>
              </w:rPr>
            </w:pPr>
            <w:r>
              <w:rPr>
                <w:color w:val="000000"/>
                <w:kern w:val="0"/>
                <w:szCs w:val="21"/>
              </w:rPr>
              <w:t>省发展改革委（公管办）、行政监督部门</w:t>
            </w:r>
          </w:p>
        </w:tc>
        <w:tc>
          <w:tcPr>
            <w:tcW w:w="3828" w:type="dxa"/>
            <w:noWrap w:val="0"/>
            <w:vAlign w:val="center"/>
          </w:tcPr>
          <w:p>
            <w:pPr>
              <w:widowControl/>
              <w:spacing w:line="320" w:lineRule="exact"/>
              <w:rPr>
                <w:color w:val="000000"/>
                <w:kern w:val="0"/>
                <w:szCs w:val="21"/>
                <w:lang w:val="en"/>
              </w:rPr>
            </w:pPr>
            <w:r>
              <w:rPr>
                <w:color w:val="000000"/>
                <w:kern w:val="0"/>
                <w:szCs w:val="21"/>
                <w:lang w:val="en"/>
              </w:rPr>
              <w:t>1、</w:t>
            </w:r>
            <w:r>
              <w:rPr>
                <w:color w:val="000000"/>
                <w:kern w:val="0"/>
                <w:szCs w:val="21"/>
              </w:rPr>
              <w:t>对评标结果未造成实质影响的</w:t>
            </w:r>
            <w:r>
              <w:rPr>
                <w:color w:val="000000"/>
                <w:kern w:val="0"/>
                <w:szCs w:val="21"/>
                <w:lang w:val="en"/>
              </w:rPr>
              <w:t>，</w:t>
            </w:r>
            <w:r>
              <w:rPr>
                <w:color w:val="000000"/>
                <w:kern w:val="0"/>
                <w:szCs w:val="21"/>
              </w:rPr>
              <w:t>责令改正，并给予集中公告</w:t>
            </w:r>
            <w:r>
              <w:rPr>
                <w:color w:val="000000"/>
                <w:kern w:val="0"/>
                <w:szCs w:val="21"/>
              </w:rPr>
              <w:br w:type="textWrapping"/>
            </w:r>
            <w:r>
              <w:rPr>
                <w:color w:val="000000"/>
                <w:kern w:val="0"/>
                <w:szCs w:val="21"/>
              </w:rPr>
              <w:t>2、对评标结果造成实质影响的，</w:t>
            </w:r>
            <w:r>
              <w:rPr>
                <w:color w:val="000000"/>
                <w:kern w:val="0"/>
                <w:szCs w:val="21"/>
                <w:lang w:val="en"/>
              </w:rPr>
              <w:t>予以解聘</w:t>
            </w:r>
          </w:p>
        </w:tc>
        <w:tc>
          <w:tcPr>
            <w:tcW w:w="2725" w:type="dxa"/>
            <w:noWrap w:val="0"/>
            <w:vAlign w:val="center"/>
          </w:tcPr>
          <w:p>
            <w:pPr>
              <w:widowControl/>
              <w:spacing w:line="320" w:lineRule="exact"/>
              <w:rPr>
                <w:color w:val="000000"/>
                <w:kern w:val="0"/>
                <w:szCs w:val="21"/>
              </w:rPr>
            </w:pPr>
            <w:r>
              <w:rPr>
                <w:color w:val="000000"/>
                <w:kern w:val="0"/>
                <w:szCs w:val="21"/>
              </w:rPr>
              <w:t>1、给予集中</w:t>
            </w:r>
            <w:r>
              <w:rPr>
                <w:color w:val="000000"/>
                <w:kern w:val="0"/>
                <w:szCs w:val="21"/>
                <w:lang w:val="en"/>
              </w:rPr>
              <w:t>公告</w:t>
            </w:r>
            <w:r>
              <w:rPr>
                <w:color w:val="000000"/>
                <w:kern w:val="0"/>
                <w:szCs w:val="21"/>
              </w:rPr>
              <w:t>处理的，考评认定为不称职</w:t>
            </w:r>
            <w:r>
              <w:rPr>
                <w:rFonts w:hint="eastAsia"/>
                <w:color w:val="000000"/>
                <w:kern w:val="0"/>
                <w:szCs w:val="21"/>
              </w:rPr>
              <w:t>；</w:t>
            </w:r>
            <w:r>
              <w:rPr>
                <w:color w:val="000000"/>
                <w:kern w:val="0"/>
                <w:szCs w:val="21"/>
              </w:rPr>
              <w:t>2、予以解聘的，取消年度综合考核资格</w:t>
            </w:r>
          </w:p>
        </w:tc>
        <w:tc>
          <w:tcPr>
            <w:tcW w:w="2162" w:type="dxa"/>
            <w:noWrap w:val="0"/>
            <w:vAlign w:val="center"/>
          </w:tcPr>
          <w:p>
            <w:pPr>
              <w:widowControl/>
              <w:spacing w:line="320" w:lineRule="exact"/>
              <w:rPr>
                <w:color w:val="000000"/>
                <w:kern w:val="0"/>
                <w:szCs w:val="21"/>
                <w:lang w:val="en"/>
              </w:rPr>
            </w:pPr>
            <w:r>
              <w:rPr>
                <w:color w:val="000000"/>
                <w:kern w:val="0"/>
                <w:szCs w:val="21"/>
                <w:lang w:val="en"/>
              </w:rPr>
              <w:t>1、不称职的6个月内不得被抽取；2、取消资格的不再被抽取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jc w:val="center"/>
        </w:trPr>
        <w:tc>
          <w:tcPr>
            <w:tcW w:w="663" w:type="dxa"/>
            <w:vMerge w:val="restart"/>
            <w:noWrap w:val="0"/>
            <w:vAlign w:val="center"/>
          </w:tcPr>
          <w:p>
            <w:pPr>
              <w:spacing w:line="320" w:lineRule="exact"/>
              <w:jc w:val="left"/>
              <w:rPr>
                <w:color w:val="000000"/>
                <w:kern w:val="0"/>
                <w:szCs w:val="21"/>
              </w:rPr>
            </w:pPr>
            <w:r>
              <w:rPr>
                <w:color w:val="000000"/>
                <w:kern w:val="0"/>
                <w:szCs w:val="21"/>
              </w:rPr>
              <w:t>违规行为</w:t>
            </w:r>
          </w:p>
        </w:tc>
        <w:tc>
          <w:tcPr>
            <w:tcW w:w="600" w:type="dxa"/>
            <w:noWrap w:val="0"/>
            <w:vAlign w:val="center"/>
          </w:tcPr>
          <w:p>
            <w:pPr>
              <w:widowControl/>
              <w:spacing w:line="320" w:lineRule="exact"/>
              <w:jc w:val="center"/>
              <w:rPr>
                <w:color w:val="000000"/>
                <w:kern w:val="0"/>
                <w:szCs w:val="21"/>
              </w:rPr>
            </w:pPr>
            <w:r>
              <w:rPr>
                <w:color w:val="000000"/>
                <w:kern w:val="0"/>
                <w:szCs w:val="21"/>
              </w:rPr>
              <w:t>27</w:t>
            </w:r>
          </w:p>
        </w:tc>
        <w:tc>
          <w:tcPr>
            <w:tcW w:w="2552" w:type="dxa"/>
            <w:noWrap w:val="0"/>
            <w:vAlign w:val="center"/>
          </w:tcPr>
          <w:p>
            <w:pPr>
              <w:widowControl/>
              <w:spacing w:line="320" w:lineRule="exact"/>
              <w:rPr>
                <w:color w:val="000000"/>
                <w:kern w:val="0"/>
                <w:szCs w:val="21"/>
              </w:rPr>
            </w:pPr>
            <w:r>
              <w:rPr>
                <w:color w:val="000000"/>
                <w:kern w:val="0"/>
                <w:szCs w:val="21"/>
              </w:rPr>
              <w:t>其他违反有关管理规定的行为</w:t>
            </w:r>
          </w:p>
        </w:tc>
        <w:tc>
          <w:tcPr>
            <w:tcW w:w="2503" w:type="dxa"/>
            <w:noWrap w:val="0"/>
            <w:vAlign w:val="center"/>
          </w:tcPr>
          <w:p>
            <w:pPr>
              <w:widowControl/>
              <w:spacing w:line="320" w:lineRule="exact"/>
              <w:rPr>
                <w:color w:val="000000"/>
                <w:kern w:val="0"/>
                <w:szCs w:val="21"/>
              </w:rPr>
            </w:pPr>
            <w:r>
              <w:rPr>
                <w:color w:val="000000"/>
                <w:kern w:val="0"/>
                <w:szCs w:val="21"/>
              </w:rPr>
              <w:t>省发展改革委（公管办）、行政监督部门</w:t>
            </w:r>
          </w:p>
        </w:tc>
        <w:tc>
          <w:tcPr>
            <w:tcW w:w="3828" w:type="dxa"/>
            <w:noWrap w:val="0"/>
            <w:vAlign w:val="center"/>
          </w:tcPr>
          <w:p>
            <w:pPr>
              <w:widowControl/>
              <w:numPr>
                <w:ilvl w:val="0"/>
                <w:numId w:val="2"/>
              </w:numPr>
              <w:spacing w:line="320" w:lineRule="exact"/>
              <w:rPr>
                <w:color w:val="000000"/>
                <w:kern w:val="0"/>
                <w:szCs w:val="21"/>
              </w:rPr>
            </w:pPr>
            <w:r>
              <w:rPr>
                <w:color w:val="000000"/>
                <w:kern w:val="0"/>
                <w:szCs w:val="21"/>
                <w:lang w:val="en"/>
              </w:rPr>
              <w:t>对评标结果未造成实质影响的，集中公告</w:t>
            </w:r>
            <w:r>
              <w:rPr>
                <w:color w:val="000000"/>
                <w:kern w:val="0"/>
                <w:szCs w:val="21"/>
                <w:lang w:val="en"/>
              </w:rPr>
              <w:br w:type="textWrapping"/>
            </w:r>
            <w:r>
              <w:rPr>
                <w:color w:val="000000"/>
                <w:kern w:val="0"/>
                <w:szCs w:val="21"/>
                <w:lang w:val="en"/>
              </w:rPr>
              <w:t>2、对评标结果造成实质影响的，暂停评标</w:t>
            </w:r>
            <w:r>
              <w:rPr>
                <w:color w:val="000000"/>
                <w:kern w:val="0"/>
                <w:szCs w:val="21"/>
              </w:rPr>
              <w:t>1年</w:t>
            </w:r>
          </w:p>
          <w:p>
            <w:pPr>
              <w:widowControl/>
              <w:spacing w:line="320" w:lineRule="exact"/>
              <w:rPr>
                <w:color w:val="000000"/>
                <w:kern w:val="0"/>
                <w:szCs w:val="21"/>
                <w:lang w:val="en"/>
              </w:rPr>
            </w:pPr>
            <w:r>
              <w:rPr>
                <w:color w:val="000000"/>
                <w:kern w:val="0"/>
                <w:szCs w:val="21"/>
              </w:rPr>
              <w:t>3、情节严重的，</w:t>
            </w:r>
            <w:r>
              <w:rPr>
                <w:color w:val="000000"/>
                <w:kern w:val="0"/>
                <w:szCs w:val="21"/>
                <w:lang w:val="en"/>
              </w:rPr>
              <w:t>予以解聘</w:t>
            </w:r>
          </w:p>
        </w:tc>
        <w:tc>
          <w:tcPr>
            <w:tcW w:w="2725" w:type="dxa"/>
            <w:noWrap w:val="0"/>
            <w:vAlign w:val="center"/>
          </w:tcPr>
          <w:p>
            <w:pPr>
              <w:widowControl/>
              <w:spacing w:line="320" w:lineRule="exact"/>
              <w:rPr>
                <w:color w:val="000000"/>
                <w:kern w:val="0"/>
                <w:szCs w:val="21"/>
              </w:rPr>
            </w:pPr>
            <w:r>
              <w:rPr>
                <w:color w:val="000000"/>
                <w:kern w:val="0"/>
                <w:szCs w:val="21"/>
              </w:rPr>
              <w:t>1、给予集中</w:t>
            </w:r>
            <w:r>
              <w:rPr>
                <w:color w:val="000000"/>
                <w:kern w:val="0"/>
                <w:szCs w:val="21"/>
                <w:lang w:val="en"/>
              </w:rPr>
              <w:t>公告</w:t>
            </w:r>
            <w:r>
              <w:rPr>
                <w:color w:val="000000"/>
                <w:kern w:val="0"/>
                <w:szCs w:val="21"/>
              </w:rPr>
              <w:t>处理的，考评认定为不称职</w:t>
            </w:r>
            <w:r>
              <w:rPr>
                <w:rFonts w:hint="eastAsia"/>
                <w:color w:val="000000"/>
                <w:kern w:val="0"/>
                <w:szCs w:val="21"/>
              </w:rPr>
              <w:t>；</w:t>
            </w:r>
            <w:r>
              <w:rPr>
                <w:color w:val="000000"/>
                <w:kern w:val="0"/>
                <w:szCs w:val="21"/>
              </w:rPr>
              <w:t>2、给予暂停评标1年处理的，年度综合考核为不合格</w:t>
            </w:r>
            <w:r>
              <w:rPr>
                <w:rFonts w:hint="eastAsia"/>
                <w:color w:val="000000"/>
                <w:kern w:val="0"/>
                <w:szCs w:val="21"/>
              </w:rPr>
              <w:t>；</w:t>
            </w:r>
            <w:r>
              <w:rPr>
                <w:color w:val="000000"/>
                <w:kern w:val="0"/>
                <w:szCs w:val="21"/>
              </w:rPr>
              <w:t>3、予以解聘的，取消年度综合考核资格</w:t>
            </w:r>
          </w:p>
        </w:tc>
        <w:tc>
          <w:tcPr>
            <w:tcW w:w="2162" w:type="dxa"/>
            <w:noWrap w:val="0"/>
            <w:vAlign w:val="center"/>
          </w:tcPr>
          <w:p>
            <w:pPr>
              <w:widowControl/>
              <w:spacing w:line="320" w:lineRule="exact"/>
              <w:rPr>
                <w:color w:val="000000"/>
                <w:kern w:val="0"/>
                <w:szCs w:val="21"/>
                <w:lang w:val="en"/>
              </w:rPr>
            </w:pPr>
            <w:r>
              <w:rPr>
                <w:color w:val="000000"/>
                <w:kern w:val="0"/>
                <w:szCs w:val="21"/>
                <w:lang w:val="en"/>
              </w:rPr>
              <w:t>1、不称职的6个月内不得被抽取；2、不合格的1年内不得被抽取；</w:t>
            </w:r>
            <w:r>
              <w:rPr>
                <w:color w:val="000000"/>
                <w:kern w:val="0"/>
                <w:szCs w:val="21"/>
              </w:rPr>
              <w:t>3、</w:t>
            </w:r>
            <w:r>
              <w:rPr>
                <w:color w:val="000000"/>
                <w:kern w:val="0"/>
                <w:szCs w:val="21"/>
                <w:lang w:val="en"/>
              </w:rPr>
              <w:t>取消资格的不再被抽取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663" w:type="dxa"/>
            <w:vMerge w:val="continue"/>
            <w:noWrap w:val="0"/>
            <w:vAlign w:val="center"/>
          </w:tcPr>
          <w:p>
            <w:pPr>
              <w:spacing w:line="320" w:lineRule="exact"/>
              <w:jc w:val="left"/>
              <w:rPr>
                <w:color w:val="000000"/>
                <w:kern w:val="0"/>
                <w:szCs w:val="21"/>
              </w:rPr>
            </w:pPr>
          </w:p>
        </w:tc>
        <w:tc>
          <w:tcPr>
            <w:tcW w:w="600" w:type="dxa"/>
            <w:noWrap w:val="0"/>
            <w:vAlign w:val="center"/>
          </w:tcPr>
          <w:p>
            <w:pPr>
              <w:widowControl/>
              <w:spacing w:line="320" w:lineRule="exact"/>
              <w:jc w:val="center"/>
              <w:rPr>
                <w:color w:val="000000"/>
                <w:kern w:val="0"/>
                <w:szCs w:val="21"/>
              </w:rPr>
            </w:pPr>
            <w:r>
              <w:rPr>
                <w:color w:val="000000"/>
                <w:kern w:val="0"/>
                <w:szCs w:val="21"/>
              </w:rPr>
              <w:t>28</w:t>
            </w:r>
          </w:p>
        </w:tc>
        <w:tc>
          <w:tcPr>
            <w:tcW w:w="2552" w:type="dxa"/>
            <w:noWrap w:val="0"/>
            <w:vAlign w:val="center"/>
          </w:tcPr>
          <w:p>
            <w:pPr>
              <w:widowControl/>
              <w:spacing w:line="320" w:lineRule="exact"/>
              <w:rPr>
                <w:rFonts w:hint="eastAsia"/>
                <w:color w:val="000000"/>
                <w:kern w:val="0"/>
                <w:szCs w:val="21"/>
              </w:rPr>
            </w:pPr>
            <w:r>
              <w:rPr>
                <w:color w:val="000000"/>
                <w:kern w:val="0"/>
                <w:szCs w:val="21"/>
              </w:rPr>
              <w:t>确认抽取应答后，未及时进行临时请假不参加评标</w:t>
            </w:r>
            <w:r>
              <w:rPr>
                <w:rFonts w:hint="eastAsia"/>
                <w:color w:val="000000"/>
                <w:kern w:val="0"/>
                <w:szCs w:val="21"/>
              </w:rPr>
              <w:t>活动</w:t>
            </w:r>
            <w:r>
              <w:rPr>
                <w:color w:val="000000"/>
                <w:kern w:val="0"/>
                <w:szCs w:val="21"/>
              </w:rPr>
              <w:t>，或无正当理由无故不参加评标</w:t>
            </w:r>
            <w:r>
              <w:rPr>
                <w:rFonts w:hint="eastAsia"/>
                <w:color w:val="000000"/>
                <w:kern w:val="0"/>
                <w:szCs w:val="21"/>
              </w:rPr>
              <w:t>活动</w:t>
            </w:r>
          </w:p>
        </w:tc>
        <w:tc>
          <w:tcPr>
            <w:tcW w:w="2503" w:type="dxa"/>
            <w:noWrap w:val="0"/>
            <w:vAlign w:val="center"/>
          </w:tcPr>
          <w:p>
            <w:pPr>
              <w:widowControl/>
              <w:spacing w:line="320" w:lineRule="exact"/>
              <w:rPr>
                <w:color w:val="000000"/>
                <w:kern w:val="0"/>
                <w:szCs w:val="21"/>
                <w:lang w:val="en"/>
              </w:rPr>
            </w:pPr>
            <w:r>
              <w:rPr>
                <w:color w:val="000000"/>
                <w:kern w:val="0"/>
                <w:szCs w:val="21"/>
              </w:rPr>
              <w:t>招标项目的现场公共资源交易平台服务机构</w:t>
            </w:r>
            <w:r>
              <w:rPr>
                <w:color w:val="000000"/>
                <w:kern w:val="0"/>
                <w:szCs w:val="21"/>
                <w:lang w:val="en"/>
              </w:rPr>
              <w:t>、</w:t>
            </w:r>
            <w:r>
              <w:rPr>
                <w:color w:val="000000"/>
                <w:kern w:val="0"/>
                <w:szCs w:val="21"/>
              </w:rPr>
              <w:t>行政监督部门</w:t>
            </w:r>
          </w:p>
        </w:tc>
        <w:tc>
          <w:tcPr>
            <w:tcW w:w="3828" w:type="dxa"/>
            <w:noWrap w:val="0"/>
            <w:vAlign w:val="center"/>
          </w:tcPr>
          <w:p>
            <w:pPr>
              <w:widowControl/>
              <w:spacing w:line="320" w:lineRule="exact"/>
              <w:rPr>
                <w:color w:val="000000"/>
                <w:kern w:val="0"/>
                <w:szCs w:val="21"/>
              </w:rPr>
            </w:pPr>
            <w:r>
              <w:rPr>
                <w:color w:val="000000"/>
                <w:kern w:val="0"/>
                <w:szCs w:val="21"/>
              </w:rPr>
              <w:t>1、首次违规给予集中</w:t>
            </w:r>
            <w:r>
              <w:rPr>
                <w:color w:val="000000"/>
                <w:kern w:val="0"/>
                <w:szCs w:val="21"/>
                <w:lang w:val="en"/>
              </w:rPr>
              <w:t>公告</w:t>
            </w:r>
            <w:r>
              <w:rPr>
                <w:color w:val="000000"/>
                <w:kern w:val="0"/>
                <w:szCs w:val="21"/>
              </w:rPr>
              <w:t xml:space="preserve"> </w:t>
            </w:r>
          </w:p>
          <w:p>
            <w:pPr>
              <w:widowControl/>
              <w:spacing w:line="320" w:lineRule="exact"/>
              <w:rPr>
                <w:color w:val="000000"/>
                <w:kern w:val="0"/>
                <w:szCs w:val="21"/>
              </w:rPr>
            </w:pPr>
            <w:r>
              <w:rPr>
                <w:color w:val="000000"/>
                <w:kern w:val="0"/>
                <w:szCs w:val="21"/>
              </w:rPr>
              <w:t>2、年度内两次未及时请假或无正当理由无故不参加评标的暂停评标1年</w:t>
            </w:r>
          </w:p>
        </w:tc>
        <w:tc>
          <w:tcPr>
            <w:tcW w:w="2725" w:type="dxa"/>
            <w:noWrap w:val="0"/>
            <w:vAlign w:val="center"/>
          </w:tcPr>
          <w:p>
            <w:pPr>
              <w:widowControl/>
              <w:spacing w:line="320" w:lineRule="exact"/>
              <w:rPr>
                <w:color w:val="000000"/>
                <w:kern w:val="0"/>
                <w:szCs w:val="21"/>
              </w:rPr>
            </w:pPr>
            <w:r>
              <w:rPr>
                <w:color w:val="000000"/>
                <w:kern w:val="0"/>
                <w:szCs w:val="21"/>
              </w:rPr>
              <w:t>1、给予集中</w:t>
            </w:r>
            <w:r>
              <w:rPr>
                <w:color w:val="000000"/>
                <w:kern w:val="0"/>
                <w:szCs w:val="21"/>
                <w:lang w:val="en"/>
              </w:rPr>
              <w:t>公告</w:t>
            </w:r>
            <w:r>
              <w:rPr>
                <w:color w:val="000000"/>
                <w:kern w:val="0"/>
                <w:szCs w:val="21"/>
              </w:rPr>
              <w:t>处理的，考评认定为不称职</w:t>
            </w:r>
            <w:r>
              <w:rPr>
                <w:rFonts w:hint="eastAsia"/>
                <w:color w:val="000000"/>
                <w:kern w:val="0"/>
                <w:szCs w:val="21"/>
              </w:rPr>
              <w:t>；</w:t>
            </w:r>
            <w:r>
              <w:rPr>
                <w:color w:val="000000"/>
                <w:kern w:val="0"/>
                <w:szCs w:val="21"/>
              </w:rPr>
              <w:t>2、给予暂停评标1年处理的，年度综合考核为不合格</w:t>
            </w:r>
          </w:p>
        </w:tc>
        <w:tc>
          <w:tcPr>
            <w:tcW w:w="2162" w:type="dxa"/>
            <w:noWrap w:val="0"/>
            <w:vAlign w:val="center"/>
          </w:tcPr>
          <w:p>
            <w:pPr>
              <w:widowControl/>
              <w:spacing w:line="320" w:lineRule="exact"/>
              <w:rPr>
                <w:color w:val="000000"/>
                <w:kern w:val="0"/>
                <w:szCs w:val="21"/>
                <w:lang w:val="en"/>
              </w:rPr>
            </w:pPr>
            <w:r>
              <w:rPr>
                <w:color w:val="000000"/>
                <w:kern w:val="0"/>
                <w:szCs w:val="21"/>
                <w:lang w:val="en"/>
              </w:rPr>
              <w:t>1、不称职的6个月内不得被抽取；2、不合格的1年内不得被抽取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jc w:val="center"/>
        </w:trPr>
        <w:tc>
          <w:tcPr>
            <w:tcW w:w="663" w:type="dxa"/>
            <w:vMerge w:val="continue"/>
            <w:noWrap w:val="0"/>
            <w:vAlign w:val="center"/>
          </w:tcPr>
          <w:p>
            <w:pPr>
              <w:spacing w:line="320" w:lineRule="exact"/>
              <w:jc w:val="left"/>
              <w:rPr>
                <w:color w:val="000000"/>
                <w:kern w:val="0"/>
                <w:szCs w:val="21"/>
              </w:rPr>
            </w:pPr>
          </w:p>
        </w:tc>
        <w:tc>
          <w:tcPr>
            <w:tcW w:w="600" w:type="dxa"/>
            <w:tcBorders>
              <w:top w:val="nil"/>
              <w:bottom w:val="single" w:color="auto" w:sz="4" w:space="0"/>
              <w:right w:val="single" w:color="auto" w:sz="4" w:space="0"/>
            </w:tcBorders>
            <w:noWrap w:val="0"/>
            <w:vAlign w:val="center"/>
          </w:tcPr>
          <w:p>
            <w:pPr>
              <w:widowControl/>
              <w:spacing w:line="320" w:lineRule="exact"/>
              <w:jc w:val="center"/>
              <w:rPr>
                <w:color w:val="000000"/>
                <w:kern w:val="0"/>
                <w:szCs w:val="21"/>
              </w:rPr>
            </w:pPr>
            <w:r>
              <w:rPr>
                <w:color w:val="000000"/>
                <w:kern w:val="0"/>
                <w:szCs w:val="21"/>
              </w:rPr>
              <w:t>29</w:t>
            </w:r>
          </w:p>
        </w:tc>
        <w:tc>
          <w:tcPr>
            <w:tcW w:w="2552"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迟到超过规定时间</w:t>
            </w:r>
          </w:p>
        </w:tc>
        <w:tc>
          <w:tcPr>
            <w:tcW w:w="2503"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lang w:val="en"/>
              </w:rPr>
            </w:pPr>
            <w:r>
              <w:rPr>
                <w:color w:val="000000"/>
                <w:kern w:val="0"/>
                <w:szCs w:val="21"/>
              </w:rPr>
              <w:t>招标项目的现场公共资源交易平台服务机构</w:t>
            </w:r>
            <w:r>
              <w:rPr>
                <w:color w:val="000000"/>
                <w:kern w:val="0"/>
                <w:szCs w:val="21"/>
                <w:lang w:val="en"/>
              </w:rPr>
              <w:t>、</w:t>
            </w:r>
            <w:r>
              <w:rPr>
                <w:color w:val="000000"/>
                <w:kern w:val="0"/>
                <w:szCs w:val="21"/>
              </w:rPr>
              <w:t>行政监督部门</w:t>
            </w:r>
          </w:p>
        </w:tc>
        <w:tc>
          <w:tcPr>
            <w:tcW w:w="3828" w:type="dxa"/>
            <w:tcBorders>
              <w:top w:val="nil"/>
              <w:left w:val="nil"/>
              <w:bottom w:val="single" w:color="auto" w:sz="4" w:space="0"/>
              <w:right w:val="single" w:color="auto" w:sz="4" w:space="0"/>
            </w:tcBorders>
            <w:noWrap w:val="0"/>
            <w:vAlign w:val="center"/>
          </w:tcPr>
          <w:p>
            <w:pPr>
              <w:widowControl/>
              <w:numPr>
                <w:ilvl w:val="0"/>
                <w:numId w:val="3"/>
              </w:numPr>
              <w:spacing w:line="320" w:lineRule="exact"/>
              <w:rPr>
                <w:color w:val="000000"/>
                <w:kern w:val="0"/>
                <w:szCs w:val="21"/>
                <w:lang w:val="en"/>
              </w:rPr>
            </w:pPr>
            <w:r>
              <w:rPr>
                <w:color w:val="000000"/>
                <w:kern w:val="0"/>
                <w:szCs w:val="21"/>
                <w:lang w:val="en"/>
              </w:rPr>
              <w:t>累计两次迟到15钟以内的，给予警示</w:t>
            </w:r>
          </w:p>
          <w:p>
            <w:pPr>
              <w:widowControl/>
              <w:spacing w:line="320" w:lineRule="exact"/>
              <w:rPr>
                <w:color w:val="000000"/>
                <w:kern w:val="0"/>
                <w:szCs w:val="21"/>
              </w:rPr>
            </w:pPr>
            <w:r>
              <w:rPr>
                <w:color w:val="000000"/>
                <w:kern w:val="0"/>
                <w:szCs w:val="21"/>
                <w:lang w:val="en"/>
              </w:rPr>
              <w:t>2、</w:t>
            </w:r>
            <w:r>
              <w:rPr>
                <w:color w:val="000000"/>
                <w:kern w:val="0"/>
                <w:szCs w:val="21"/>
              </w:rPr>
              <w:t>首次迟到15分钟以上30分钟以内的，给予</w:t>
            </w:r>
            <w:r>
              <w:rPr>
                <w:color w:val="000000"/>
                <w:kern w:val="0"/>
                <w:szCs w:val="21"/>
                <w:lang w:val="en"/>
              </w:rPr>
              <w:t>警示</w:t>
            </w:r>
          </w:p>
          <w:p>
            <w:pPr>
              <w:widowControl/>
              <w:spacing w:line="320" w:lineRule="exact"/>
              <w:rPr>
                <w:color w:val="000000"/>
                <w:kern w:val="0"/>
                <w:szCs w:val="21"/>
                <w:lang w:val="en"/>
              </w:rPr>
            </w:pPr>
            <w:r>
              <w:rPr>
                <w:color w:val="000000"/>
                <w:kern w:val="0"/>
                <w:szCs w:val="21"/>
                <w:lang w:val="en"/>
              </w:rPr>
              <w:t>3</w:t>
            </w:r>
            <w:r>
              <w:rPr>
                <w:color w:val="000000"/>
                <w:kern w:val="0"/>
                <w:szCs w:val="21"/>
              </w:rPr>
              <w:t>、</w:t>
            </w:r>
            <w:r>
              <w:rPr>
                <w:color w:val="000000"/>
                <w:kern w:val="0"/>
                <w:szCs w:val="21"/>
                <w:lang w:val="en"/>
              </w:rPr>
              <w:t>累计</w:t>
            </w:r>
            <w:r>
              <w:rPr>
                <w:color w:val="000000"/>
                <w:kern w:val="0"/>
                <w:szCs w:val="21"/>
              </w:rPr>
              <w:t>两次迟到15分钟以上30分钟以内的，给予集中</w:t>
            </w:r>
            <w:r>
              <w:rPr>
                <w:color w:val="000000"/>
                <w:kern w:val="0"/>
                <w:szCs w:val="21"/>
                <w:lang w:val="en"/>
              </w:rPr>
              <w:t>公告</w:t>
            </w:r>
          </w:p>
          <w:p>
            <w:pPr>
              <w:widowControl/>
              <w:spacing w:line="320" w:lineRule="exact"/>
              <w:rPr>
                <w:color w:val="000000"/>
                <w:kern w:val="0"/>
                <w:szCs w:val="21"/>
              </w:rPr>
            </w:pPr>
            <w:r>
              <w:rPr>
                <w:color w:val="000000"/>
                <w:kern w:val="0"/>
                <w:szCs w:val="21"/>
                <w:lang w:val="en"/>
              </w:rPr>
              <w:t>4</w:t>
            </w:r>
            <w:r>
              <w:rPr>
                <w:color w:val="000000"/>
                <w:kern w:val="0"/>
                <w:szCs w:val="21"/>
              </w:rPr>
              <w:t>、迟到超过30分钟或应急评标超过15分钟，取消该项目评标资格，并给予集中公告</w:t>
            </w:r>
          </w:p>
        </w:tc>
        <w:tc>
          <w:tcPr>
            <w:tcW w:w="2725"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1、给予</w:t>
            </w:r>
            <w:r>
              <w:rPr>
                <w:color w:val="000000"/>
                <w:kern w:val="0"/>
                <w:szCs w:val="21"/>
                <w:lang w:val="en"/>
              </w:rPr>
              <w:t>警示</w:t>
            </w:r>
            <w:r>
              <w:rPr>
                <w:color w:val="000000"/>
                <w:kern w:val="0"/>
                <w:szCs w:val="21"/>
              </w:rPr>
              <w:t>处理的，考评认定为基本称职；2、给予集中</w:t>
            </w:r>
            <w:r>
              <w:rPr>
                <w:color w:val="000000"/>
                <w:kern w:val="0"/>
                <w:szCs w:val="21"/>
                <w:lang w:val="en"/>
              </w:rPr>
              <w:t>公告</w:t>
            </w:r>
            <w:r>
              <w:rPr>
                <w:color w:val="000000"/>
                <w:kern w:val="0"/>
                <w:szCs w:val="21"/>
              </w:rPr>
              <w:t>处理的，考评认定为不称职</w:t>
            </w:r>
          </w:p>
        </w:tc>
        <w:tc>
          <w:tcPr>
            <w:tcW w:w="2162"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lang w:val="en"/>
              </w:rPr>
            </w:pPr>
            <w:r>
              <w:rPr>
                <w:color w:val="000000"/>
                <w:kern w:val="0"/>
                <w:szCs w:val="21"/>
                <w:lang w:val="en"/>
              </w:rPr>
              <w:t>1、基本称职的</w:t>
            </w:r>
            <w:r>
              <w:rPr>
                <w:color w:val="000000"/>
                <w:kern w:val="0"/>
                <w:szCs w:val="21"/>
              </w:rPr>
              <w:t>3</w:t>
            </w:r>
            <w:r>
              <w:rPr>
                <w:color w:val="000000"/>
                <w:kern w:val="0"/>
                <w:szCs w:val="21"/>
                <w:lang w:val="en"/>
              </w:rPr>
              <w:t xml:space="preserve">个月内不得被抽取；2、不称职的6个月内不得被抽取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663" w:type="dxa"/>
            <w:vMerge w:val="continue"/>
            <w:noWrap w:val="0"/>
            <w:vAlign w:val="center"/>
          </w:tcPr>
          <w:p>
            <w:pPr>
              <w:spacing w:line="320" w:lineRule="exact"/>
              <w:jc w:val="left"/>
              <w:rPr>
                <w:color w:val="000000"/>
                <w:kern w:val="0"/>
                <w:szCs w:val="21"/>
              </w:rPr>
            </w:pPr>
          </w:p>
        </w:tc>
        <w:tc>
          <w:tcPr>
            <w:tcW w:w="600" w:type="dxa"/>
            <w:tcBorders>
              <w:top w:val="nil"/>
              <w:bottom w:val="single" w:color="auto" w:sz="4" w:space="0"/>
              <w:right w:val="single" w:color="auto" w:sz="4" w:space="0"/>
            </w:tcBorders>
            <w:noWrap w:val="0"/>
            <w:vAlign w:val="center"/>
          </w:tcPr>
          <w:p>
            <w:pPr>
              <w:widowControl/>
              <w:spacing w:line="320" w:lineRule="exact"/>
              <w:jc w:val="center"/>
              <w:rPr>
                <w:color w:val="000000"/>
                <w:kern w:val="0"/>
                <w:szCs w:val="21"/>
              </w:rPr>
            </w:pPr>
            <w:r>
              <w:rPr>
                <w:color w:val="000000"/>
                <w:kern w:val="0"/>
                <w:szCs w:val="21"/>
              </w:rPr>
              <w:t>30</w:t>
            </w:r>
          </w:p>
        </w:tc>
        <w:tc>
          <w:tcPr>
            <w:tcW w:w="2552"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未完成正常评标工作早退</w:t>
            </w:r>
          </w:p>
        </w:tc>
        <w:tc>
          <w:tcPr>
            <w:tcW w:w="2503"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lang w:val="en"/>
              </w:rPr>
            </w:pPr>
            <w:r>
              <w:rPr>
                <w:color w:val="000000"/>
                <w:kern w:val="0"/>
                <w:szCs w:val="21"/>
              </w:rPr>
              <w:t>招标项目的现场公共资源交易平台服务机构</w:t>
            </w:r>
            <w:r>
              <w:rPr>
                <w:color w:val="000000"/>
                <w:kern w:val="0"/>
                <w:szCs w:val="21"/>
                <w:lang w:val="en"/>
              </w:rPr>
              <w:t>、</w:t>
            </w:r>
            <w:r>
              <w:rPr>
                <w:color w:val="000000"/>
                <w:kern w:val="0"/>
                <w:szCs w:val="21"/>
              </w:rPr>
              <w:t>行政监督部门</w:t>
            </w:r>
          </w:p>
        </w:tc>
        <w:tc>
          <w:tcPr>
            <w:tcW w:w="3828"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集中</w:t>
            </w:r>
            <w:r>
              <w:rPr>
                <w:color w:val="000000"/>
                <w:kern w:val="0"/>
                <w:szCs w:val="21"/>
                <w:lang w:val="en"/>
              </w:rPr>
              <w:t>公告</w:t>
            </w:r>
          </w:p>
        </w:tc>
        <w:tc>
          <w:tcPr>
            <w:tcW w:w="2725"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考评认定为不称职</w:t>
            </w:r>
          </w:p>
        </w:tc>
        <w:tc>
          <w:tcPr>
            <w:tcW w:w="2162"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lang w:val="en"/>
              </w:rPr>
              <w:t>基本称职的</w:t>
            </w:r>
            <w:r>
              <w:rPr>
                <w:color w:val="000000"/>
                <w:kern w:val="0"/>
                <w:szCs w:val="21"/>
              </w:rPr>
              <w:t>3</w:t>
            </w:r>
            <w:r>
              <w:rPr>
                <w:color w:val="000000"/>
                <w:kern w:val="0"/>
                <w:szCs w:val="21"/>
                <w:lang w:val="en"/>
              </w:rPr>
              <w:t>个月内不得被抽取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663" w:type="dxa"/>
            <w:vMerge w:val="restart"/>
            <w:noWrap w:val="0"/>
            <w:vAlign w:val="center"/>
          </w:tcPr>
          <w:p>
            <w:pPr>
              <w:spacing w:line="320" w:lineRule="exact"/>
              <w:jc w:val="left"/>
              <w:rPr>
                <w:color w:val="000000"/>
                <w:kern w:val="0"/>
                <w:szCs w:val="21"/>
              </w:rPr>
            </w:pPr>
            <w:r>
              <w:rPr>
                <w:color w:val="000000"/>
                <w:kern w:val="0"/>
                <w:szCs w:val="21"/>
              </w:rPr>
              <w:t>违规行为</w:t>
            </w:r>
          </w:p>
        </w:tc>
        <w:tc>
          <w:tcPr>
            <w:tcW w:w="600" w:type="dxa"/>
            <w:tcBorders>
              <w:top w:val="nil"/>
              <w:bottom w:val="single" w:color="auto" w:sz="4" w:space="0"/>
              <w:right w:val="single" w:color="auto" w:sz="4" w:space="0"/>
            </w:tcBorders>
            <w:noWrap w:val="0"/>
            <w:vAlign w:val="center"/>
          </w:tcPr>
          <w:p>
            <w:pPr>
              <w:spacing w:line="320" w:lineRule="exact"/>
              <w:jc w:val="center"/>
              <w:rPr>
                <w:color w:val="000000"/>
                <w:kern w:val="0"/>
                <w:szCs w:val="21"/>
              </w:rPr>
            </w:pPr>
            <w:r>
              <w:rPr>
                <w:color w:val="000000"/>
                <w:kern w:val="0"/>
                <w:szCs w:val="21"/>
              </w:rPr>
              <w:t>31</w:t>
            </w:r>
          </w:p>
        </w:tc>
        <w:tc>
          <w:tcPr>
            <w:tcW w:w="2552"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不遵守评标纪律，不服从评标现场管理，影响评标工作正常进行</w:t>
            </w:r>
          </w:p>
        </w:tc>
        <w:tc>
          <w:tcPr>
            <w:tcW w:w="2503"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lang w:val="en"/>
              </w:rPr>
            </w:pPr>
            <w:r>
              <w:rPr>
                <w:color w:val="000000"/>
                <w:kern w:val="0"/>
                <w:szCs w:val="21"/>
              </w:rPr>
              <w:t>招标项目的现场公共资源交易平台服务机构</w:t>
            </w:r>
            <w:r>
              <w:rPr>
                <w:color w:val="000000"/>
                <w:kern w:val="0"/>
                <w:szCs w:val="21"/>
                <w:lang w:val="en"/>
              </w:rPr>
              <w:t>、</w:t>
            </w:r>
            <w:r>
              <w:rPr>
                <w:color w:val="000000"/>
                <w:kern w:val="0"/>
                <w:szCs w:val="21"/>
              </w:rPr>
              <w:t>行政监督部门</w:t>
            </w:r>
          </w:p>
        </w:tc>
        <w:tc>
          <w:tcPr>
            <w:tcW w:w="3828"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1、情节轻微，对评标工作影响较小，给予集中</w:t>
            </w:r>
            <w:r>
              <w:rPr>
                <w:color w:val="000000"/>
                <w:kern w:val="0"/>
                <w:szCs w:val="21"/>
                <w:lang w:val="en"/>
              </w:rPr>
              <w:t>公告</w:t>
            </w:r>
          </w:p>
          <w:p>
            <w:pPr>
              <w:widowControl/>
              <w:spacing w:line="320" w:lineRule="exact"/>
              <w:rPr>
                <w:color w:val="000000"/>
                <w:kern w:val="0"/>
                <w:szCs w:val="21"/>
              </w:rPr>
            </w:pPr>
            <w:r>
              <w:rPr>
                <w:color w:val="000000"/>
                <w:kern w:val="0"/>
                <w:szCs w:val="21"/>
              </w:rPr>
              <w:t>2、情节严重，对评标工作影响较大，给予暂停评标1年</w:t>
            </w:r>
          </w:p>
        </w:tc>
        <w:tc>
          <w:tcPr>
            <w:tcW w:w="2725"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1、给予集中</w:t>
            </w:r>
            <w:r>
              <w:rPr>
                <w:color w:val="000000"/>
                <w:kern w:val="0"/>
                <w:szCs w:val="21"/>
                <w:lang w:val="en"/>
              </w:rPr>
              <w:t>公告</w:t>
            </w:r>
            <w:r>
              <w:rPr>
                <w:color w:val="000000"/>
                <w:kern w:val="0"/>
                <w:szCs w:val="21"/>
              </w:rPr>
              <w:t>处理的，考评认定为不称职</w:t>
            </w:r>
            <w:r>
              <w:rPr>
                <w:rFonts w:hint="eastAsia"/>
                <w:color w:val="000000"/>
                <w:kern w:val="0"/>
                <w:szCs w:val="21"/>
              </w:rPr>
              <w:t>；</w:t>
            </w:r>
            <w:r>
              <w:rPr>
                <w:color w:val="000000"/>
                <w:kern w:val="0"/>
                <w:szCs w:val="21"/>
              </w:rPr>
              <w:t>2、给予暂停评标1年处理的，年度综合考核为不合格</w:t>
            </w:r>
          </w:p>
        </w:tc>
        <w:tc>
          <w:tcPr>
            <w:tcW w:w="2162"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lang w:val="en"/>
              </w:rPr>
              <w:t>1、不称职的6个月内不得被抽取；2、不合格的1年内不得被抽取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663" w:type="dxa"/>
            <w:vMerge w:val="continue"/>
            <w:noWrap w:val="0"/>
            <w:vAlign w:val="center"/>
          </w:tcPr>
          <w:p>
            <w:pPr>
              <w:spacing w:line="320" w:lineRule="exact"/>
              <w:jc w:val="left"/>
              <w:rPr>
                <w:color w:val="000000"/>
                <w:kern w:val="0"/>
                <w:szCs w:val="21"/>
              </w:rPr>
            </w:pPr>
          </w:p>
        </w:tc>
        <w:tc>
          <w:tcPr>
            <w:tcW w:w="600" w:type="dxa"/>
            <w:tcBorders>
              <w:top w:val="nil"/>
              <w:bottom w:val="single" w:color="auto" w:sz="4" w:space="0"/>
              <w:right w:val="single" w:color="auto" w:sz="4" w:space="0"/>
            </w:tcBorders>
            <w:noWrap w:val="0"/>
            <w:vAlign w:val="center"/>
          </w:tcPr>
          <w:p>
            <w:pPr>
              <w:widowControl/>
              <w:spacing w:line="320" w:lineRule="exact"/>
              <w:jc w:val="center"/>
              <w:rPr>
                <w:color w:val="000000"/>
                <w:kern w:val="0"/>
                <w:szCs w:val="21"/>
              </w:rPr>
            </w:pPr>
            <w:r>
              <w:rPr>
                <w:color w:val="000000"/>
                <w:kern w:val="0"/>
                <w:szCs w:val="21"/>
              </w:rPr>
              <w:t>32</w:t>
            </w:r>
          </w:p>
        </w:tc>
        <w:tc>
          <w:tcPr>
            <w:tcW w:w="2552"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在评标期间，不按照规定使用通讯工具，或违规利用通讯工具对外联络</w:t>
            </w:r>
          </w:p>
        </w:tc>
        <w:tc>
          <w:tcPr>
            <w:tcW w:w="2503"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lang w:val="en"/>
              </w:rPr>
            </w:pPr>
            <w:r>
              <w:rPr>
                <w:color w:val="000000"/>
                <w:kern w:val="0"/>
                <w:szCs w:val="21"/>
              </w:rPr>
              <w:t>招标项目的现场公共资源交易平台服务机构</w:t>
            </w:r>
            <w:r>
              <w:rPr>
                <w:color w:val="000000"/>
                <w:kern w:val="0"/>
                <w:szCs w:val="21"/>
                <w:lang w:val="en"/>
              </w:rPr>
              <w:t>、</w:t>
            </w:r>
            <w:r>
              <w:rPr>
                <w:color w:val="000000"/>
                <w:kern w:val="0"/>
                <w:szCs w:val="21"/>
              </w:rPr>
              <w:t>行政监督部门</w:t>
            </w:r>
          </w:p>
        </w:tc>
        <w:tc>
          <w:tcPr>
            <w:tcW w:w="3828"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1、情节轻微，对评标工作未造成实质性影响，给予集中</w:t>
            </w:r>
            <w:r>
              <w:rPr>
                <w:color w:val="000000"/>
                <w:kern w:val="0"/>
                <w:szCs w:val="21"/>
                <w:lang w:val="en"/>
              </w:rPr>
              <w:t>公告</w:t>
            </w:r>
          </w:p>
          <w:p>
            <w:pPr>
              <w:widowControl/>
              <w:spacing w:line="320" w:lineRule="exact"/>
              <w:rPr>
                <w:color w:val="000000"/>
                <w:kern w:val="0"/>
                <w:szCs w:val="21"/>
              </w:rPr>
            </w:pPr>
            <w:r>
              <w:rPr>
                <w:color w:val="000000"/>
                <w:kern w:val="0"/>
                <w:szCs w:val="21"/>
              </w:rPr>
              <w:t xml:space="preserve">2、情节严重，对评标工作造成实质性影响，给予暂停评标1年  </w:t>
            </w:r>
          </w:p>
        </w:tc>
        <w:tc>
          <w:tcPr>
            <w:tcW w:w="2725"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1、给予集中</w:t>
            </w:r>
            <w:r>
              <w:rPr>
                <w:color w:val="000000"/>
                <w:kern w:val="0"/>
                <w:szCs w:val="21"/>
                <w:lang w:val="en"/>
              </w:rPr>
              <w:t>公告</w:t>
            </w:r>
            <w:r>
              <w:rPr>
                <w:color w:val="000000"/>
                <w:kern w:val="0"/>
                <w:szCs w:val="21"/>
              </w:rPr>
              <w:t>处理的，考评认定为不称职</w:t>
            </w:r>
            <w:r>
              <w:rPr>
                <w:rFonts w:hint="eastAsia"/>
                <w:color w:val="000000"/>
                <w:kern w:val="0"/>
                <w:szCs w:val="21"/>
              </w:rPr>
              <w:t>；</w:t>
            </w:r>
            <w:r>
              <w:rPr>
                <w:color w:val="000000"/>
                <w:kern w:val="0"/>
                <w:szCs w:val="21"/>
              </w:rPr>
              <w:t>2、给予暂停评标1年处理的，年度综合考核为不合格</w:t>
            </w:r>
          </w:p>
        </w:tc>
        <w:tc>
          <w:tcPr>
            <w:tcW w:w="2162"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lang w:val="en"/>
              </w:rPr>
              <w:t>1、不称职的6个月内不得被抽取；2、不合格的1年内不得被抽取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63" w:type="dxa"/>
            <w:vMerge w:val="continue"/>
            <w:noWrap w:val="0"/>
            <w:vAlign w:val="center"/>
          </w:tcPr>
          <w:p>
            <w:pPr>
              <w:spacing w:line="320" w:lineRule="exact"/>
              <w:jc w:val="left"/>
              <w:rPr>
                <w:color w:val="000000"/>
                <w:kern w:val="0"/>
                <w:szCs w:val="21"/>
              </w:rPr>
            </w:pPr>
          </w:p>
        </w:tc>
        <w:tc>
          <w:tcPr>
            <w:tcW w:w="600" w:type="dxa"/>
            <w:tcBorders>
              <w:top w:val="nil"/>
              <w:bottom w:val="single" w:color="auto" w:sz="4" w:space="0"/>
              <w:right w:val="single" w:color="auto" w:sz="4" w:space="0"/>
            </w:tcBorders>
            <w:noWrap w:val="0"/>
            <w:vAlign w:val="center"/>
          </w:tcPr>
          <w:p>
            <w:pPr>
              <w:widowControl/>
              <w:spacing w:line="320" w:lineRule="exact"/>
              <w:jc w:val="center"/>
              <w:rPr>
                <w:color w:val="000000"/>
                <w:kern w:val="0"/>
                <w:szCs w:val="21"/>
              </w:rPr>
            </w:pPr>
            <w:r>
              <w:rPr>
                <w:color w:val="000000"/>
                <w:kern w:val="0"/>
                <w:szCs w:val="21"/>
              </w:rPr>
              <w:t>33</w:t>
            </w:r>
          </w:p>
        </w:tc>
        <w:tc>
          <w:tcPr>
            <w:tcW w:w="2552"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评标专家到达评标现场后，以项目复杂或者工作量大等其他理由拒绝参与评标</w:t>
            </w:r>
          </w:p>
        </w:tc>
        <w:tc>
          <w:tcPr>
            <w:tcW w:w="2503"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lang w:val="en"/>
              </w:rPr>
            </w:pPr>
            <w:r>
              <w:rPr>
                <w:color w:val="000000"/>
                <w:kern w:val="0"/>
                <w:szCs w:val="21"/>
              </w:rPr>
              <w:t>招标项目的现场公共资源交易平台服务机构</w:t>
            </w:r>
            <w:r>
              <w:rPr>
                <w:color w:val="000000"/>
                <w:kern w:val="0"/>
                <w:szCs w:val="21"/>
                <w:lang w:val="en"/>
              </w:rPr>
              <w:t>、</w:t>
            </w:r>
            <w:r>
              <w:rPr>
                <w:color w:val="000000"/>
                <w:kern w:val="0"/>
                <w:szCs w:val="21"/>
              </w:rPr>
              <w:t>行政监督部门</w:t>
            </w:r>
          </w:p>
        </w:tc>
        <w:tc>
          <w:tcPr>
            <w:tcW w:w="3828"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集中</w:t>
            </w:r>
            <w:r>
              <w:rPr>
                <w:color w:val="000000"/>
                <w:kern w:val="0"/>
                <w:szCs w:val="21"/>
                <w:lang w:val="en"/>
              </w:rPr>
              <w:t>公告</w:t>
            </w:r>
          </w:p>
        </w:tc>
        <w:tc>
          <w:tcPr>
            <w:tcW w:w="2725"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考评认定为不称职</w:t>
            </w:r>
          </w:p>
        </w:tc>
        <w:tc>
          <w:tcPr>
            <w:tcW w:w="2162" w:type="dxa"/>
            <w:tcBorders>
              <w:top w:val="nil"/>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lang w:val="en"/>
              </w:rPr>
              <w:t>不称职的6个月内不得被抽取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663" w:type="dxa"/>
            <w:vMerge w:val="continue"/>
            <w:noWrap w:val="0"/>
            <w:vAlign w:val="center"/>
          </w:tcPr>
          <w:p>
            <w:pPr>
              <w:spacing w:line="320" w:lineRule="exact"/>
              <w:jc w:val="left"/>
              <w:rPr>
                <w:color w:val="000000"/>
                <w:kern w:val="0"/>
                <w:szCs w:val="21"/>
              </w:rPr>
            </w:pPr>
          </w:p>
        </w:tc>
        <w:tc>
          <w:tcPr>
            <w:tcW w:w="60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kern w:val="0"/>
                <w:szCs w:val="21"/>
              </w:rPr>
            </w:pPr>
            <w:r>
              <w:rPr>
                <w:color w:val="000000"/>
                <w:kern w:val="0"/>
                <w:szCs w:val="21"/>
              </w:rPr>
              <w:t>34</w:t>
            </w:r>
          </w:p>
        </w:tc>
        <w:tc>
          <w:tcPr>
            <w:tcW w:w="2552" w:type="dxa"/>
            <w:tcBorders>
              <w:top w:val="single" w:color="auto" w:sz="4" w:space="0"/>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违反其他现场管理规定</w:t>
            </w:r>
            <w:r>
              <w:rPr>
                <w:rFonts w:hint="eastAsia"/>
                <w:color w:val="000000"/>
                <w:kern w:val="0"/>
                <w:szCs w:val="21"/>
              </w:rPr>
              <w:t>的</w:t>
            </w:r>
            <w:r>
              <w:rPr>
                <w:color w:val="000000"/>
                <w:kern w:val="0"/>
                <w:szCs w:val="21"/>
              </w:rPr>
              <w:t>行为</w:t>
            </w:r>
          </w:p>
        </w:tc>
        <w:tc>
          <w:tcPr>
            <w:tcW w:w="2503" w:type="dxa"/>
            <w:tcBorders>
              <w:top w:val="single" w:color="auto" w:sz="4" w:space="0"/>
              <w:left w:val="nil"/>
              <w:bottom w:val="single" w:color="auto" w:sz="4" w:space="0"/>
              <w:right w:val="single" w:color="auto" w:sz="4" w:space="0"/>
            </w:tcBorders>
            <w:noWrap w:val="0"/>
            <w:vAlign w:val="center"/>
          </w:tcPr>
          <w:p>
            <w:pPr>
              <w:widowControl/>
              <w:spacing w:line="320" w:lineRule="exact"/>
              <w:rPr>
                <w:color w:val="000000"/>
                <w:kern w:val="0"/>
                <w:szCs w:val="21"/>
                <w:lang w:val="en"/>
              </w:rPr>
            </w:pPr>
            <w:r>
              <w:rPr>
                <w:color w:val="000000"/>
                <w:kern w:val="0"/>
                <w:szCs w:val="21"/>
              </w:rPr>
              <w:t>招标项目的现场公共资源交易平台服务机构</w:t>
            </w:r>
            <w:r>
              <w:rPr>
                <w:color w:val="000000"/>
                <w:kern w:val="0"/>
                <w:szCs w:val="21"/>
                <w:lang w:val="en"/>
              </w:rPr>
              <w:t>、</w:t>
            </w:r>
            <w:r>
              <w:rPr>
                <w:color w:val="000000"/>
                <w:kern w:val="0"/>
                <w:szCs w:val="21"/>
              </w:rPr>
              <w:t>行政监督部门</w:t>
            </w:r>
          </w:p>
        </w:tc>
        <w:tc>
          <w:tcPr>
            <w:tcW w:w="3828" w:type="dxa"/>
            <w:tcBorders>
              <w:top w:val="single" w:color="auto" w:sz="4" w:space="0"/>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1、情节轻微，对评标工作影响较小，给予集中</w:t>
            </w:r>
            <w:r>
              <w:rPr>
                <w:color w:val="000000"/>
                <w:kern w:val="0"/>
                <w:szCs w:val="21"/>
                <w:lang w:val="en"/>
              </w:rPr>
              <w:t>公告</w:t>
            </w:r>
          </w:p>
          <w:p>
            <w:pPr>
              <w:widowControl/>
              <w:spacing w:line="320" w:lineRule="exact"/>
              <w:rPr>
                <w:color w:val="000000"/>
                <w:kern w:val="0"/>
                <w:szCs w:val="21"/>
              </w:rPr>
            </w:pPr>
            <w:r>
              <w:rPr>
                <w:color w:val="000000"/>
                <w:kern w:val="0"/>
                <w:szCs w:val="21"/>
              </w:rPr>
              <w:t>2、情节严重，对评标工作影响较大，给予暂停评标1年</w:t>
            </w:r>
          </w:p>
        </w:tc>
        <w:tc>
          <w:tcPr>
            <w:tcW w:w="2725" w:type="dxa"/>
            <w:tcBorders>
              <w:top w:val="single" w:color="auto" w:sz="4" w:space="0"/>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rPr>
              <w:t>1、给予集中</w:t>
            </w:r>
            <w:r>
              <w:rPr>
                <w:color w:val="000000"/>
                <w:kern w:val="0"/>
                <w:szCs w:val="21"/>
                <w:lang w:val="en"/>
              </w:rPr>
              <w:t>公告</w:t>
            </w:r>
            <w:r>
              <w:rPr>
                <w:color w:val="000000"/>
                <w:kern w:val="0"/>
                <w:szCs w:val="21"/>
              </w:rPr>
              <w:t>处理的，考评认定为不称职</w:t>
            </w:r>
            <w:r>
              <w:rPr>
                <w:rFonts w:hint="eastAsia"/>
                <w:color w:val="000000"/>
                <w:kern w:val="0"/>
                <w:szCs w:val="21"/>
              </w:rPr>
              <w:t>；</w:t>
            </w:r>
            <w:r>
              <w:rPr>
                <w:color w:val="000000"/>
                <w:kern w:val="0"/>
                <w:szCs w:val="21"/>
              </w:rPr>
              <w:t>2、给予暂停评标1年处理的，年度综合考核为不合格</w:t>
            </w:r>
          </w:p>
        </w:tc>
        <w:tc>
          <w:tcPr>
            <w:tcW w:w="2162" w:type="dxa"/>
            <w:tcBorders>
              <w:top w:val="single" w:color="auto" w:sz="4" w:space="0"/>
              <w:left w:val="nil"/>
              <w:bottom w:val="single" w:color="auto" w:sz="4" w:space="0"/>
              <w:right w:val="single" w:color="auto" w:sz="4" w:space="0"/>
            </w:tcBorders>
            <w:noWrap w:val="0"/>
            <w:vAlign w:val="center"/>
          </w:tcPr>
          <w:p>
            <w:pPr>
              <w:widowControl/>
              <w:spacing w:line="320" w:lineRule="exact"/>
              <w:rPr>
                <w:color w:val="000000"/>
                <w:kern w:val="0"/>
                <w:szCs w:val="21"/>
              </w:rPr>
            </w:pPr>
            <w:r>
              <w:rPr>
                <w:color w:val="000000"/>
                <w:kern w:val="0"/>
                <w:szCs w:val="21"/>
                <w:lang w:val="en"/>
              </w:rPr>
              <w:t>1、不称职的6个月内不得被抽取；2、不合格的1年内不得被抽取</w:t>
            </w:r>
          </w:p>
        </w:tc>
      </w:tr>
    </w:tbl>
    <w:p>
      <w:pPr>
        <w:spacing w:before="156" w:beforeLines="50"/>
        <w:rPr>
          <w:szCs w:val="21"/>
        </w:rPr>
      </w:pPr>
      <w:r>
        <w:rPr>
          <w:b/>
          <w:bCs/>
          <w:color w:val="000000"/>
          <w:szCs w:val="21"/>
        </w:rPr>
        <w:t>备注：在项目参评中，负面清单行为情节严重的，或同时出现2种及以上负面清单行为的，可加重处分。</w:t>
      </w:r>
    </w:p>
    <w:p>
      <w:pPr>
        <w:pStyle w:val="2"/>
        <w:adjustRightInd w:val="0"/>
        <w:spacing w:before="156" w:beforeLines="50" w:line="596" w:lineRule="exact"/>
        <w:ind w:firstLine="1050" w:firstLineChars="500"/>
        <w:rPr>
          <w:rFonts w:eastAsia="仿宋_GB2312"/>
          <w:color w:val="000000"/>
          <w:sz w:val="21"/>
          <w:szCs w:val="21"/>
        </w:rPr>
        <w:sectPr>
          <w:pgSz w:w="16838" w:h="11906" w:orient="landscape"/>
          <w:pgMar w:top="1418" w:right="1418" w:bottom="1247" w:left="1418" w:header="851" w:footer="1021" w:gutter="0"/>
          <w:cols w:space="720" w:num="1"/>
          <w:docGrid w:type="lines" w:linePitch="312" w:charSpace="0"/>
        </w:sectPr>
      </w:pPr>
    </w:p>
    <w:p>
      <w:pPr>
        <w:widowControl/>
        <w:shd w:val="clear" w:color="auto" w:fill="FFFFFF"/>
        <w:spacing w:line="480" w:lineRule="atLeast"/>
        <w:rPr>
          <w:rFonts w:eastAsia="仿宋_GB2312"/>
          <w:color w:val="000000"/>
          <w:kern w:val="0"/>
          <w:sz w:val="32"/>
          <w:szCs w:val="32"/>
        </w:rPr>
      </w:pPr>
      <w:r>
        <w:rPr>
          <w:rFonts w:hint="eastAsia" w:eastAsia="仿宋_GB2312"/>
          <w:color w:val="000000"/>
          <w:kern w:val="0"/>
          <w:sz w:val="32"/>
          <w:szCs w:val="32"/>
        </w:rPr>
        <w:t>附件</w:t>
      </w:r>
      <w:r>
        <w:rPr>
          <w:rFonts w:eastAsia="仿宋_GB2312"/>
          <w:color w:val="000000"/>
          <w:kern w:val="0"/>
          <w:sz w:val="32"/>
          <w:szCs w:val="32"/>
        </w:rPr>
        <w:t>2</w:t>
      </w:r>
    </w:p>
    <w:p>
      <w:pPr>
        <w:widowControl/>
        <w:shd w:val="clear" w:color="auto" w:fill="FFFFFF"/>
        <w:spacing w:line="480" w:lineRule="atLeast"/>
        <w:jc w:val="center"/>
        <w:rPr>
          <w:rFonts w:eastAsia="方正小标宋_GBK"/>
          <w:color w:val="000000"/>
          <w:spacing w:val="-6"/>
          <w:kern w:val="0"/>
          <w:sz w:val="42"/>
          <w:szCs w:val="42"/>
        </w:rPr>
      </w:pPr>
      <w:r>
        <w:rPr>
          <w:rFonts w:hint="eastAsia" w:eastAsia="方正小标宋_GBK"/>
          <w:color w:val="000000"/>
          <w:spacing w:val="-6"/>
          <w:kern w:val="0"/>
          <w:sz w:val="42"/>
          <w:szCs w:val="42"/>
        </w:rPr>
        <w:t>湖南省综合评标专家劳务报酬参考标准</w:t>
      </w:r>
    </w:p>
    <w:p>
      <w:pPr>
        <w:widowControl/>
        <w:shd w:val="clear" w:color="auto" w:fill="FFFFFF"/>
        <w:spacing w:line="420" w:lineRule="exact"/>
        <w:ind w:firstLine="480"/>
        <w:jc w:val="right"/>
        <w:rPr>
          <w:color w:val="000000"/>
          <w:kern w:val="0"/>
          <w:sz w:val="24"/>
        </w:rPr>
      </w:pPr>
      <w:r>
        <w:rPr>
          <w:color w:val="000000"/>
          <w:kern w:val="0"/>
          <w:sz w:val="24"/>
        </w:rPr>
        <w:t xml:space="preserve">    </w:t>
      </w:r>
      <w:r>
        <w:rPr>
          <w:rFonts w:hint="eastAsia"/>
          <w:color w:val="000000"/>
          <w:kern w:val="0"/>
          <w:sz w:val="24"/>
        </w:rPr>
        <w:t>单位：元</w:t>
      </w:r>
      <w:r>
        <w:rPr>
          <w:color w:val="000000"/>
          <w:kern w:val="0"/>
          <w:sz w:val="24"/>
        </w:rPr>
        <w:t>/</w:t>
      </w:r>
      <w:r>
        <w:rPr>
          <w:rFonts w:hint="eastAsia"/>
          <w:color w:val="000000"/>
          <w:kern w:val="0"/>
          <w:sz w:val="24"/>
        </w:rPr>
        <w:t>人次</w:t>
      </w:r>
    </w:p>
    <w:tbl>
      <w:tblPr>
        <w:tblStyle w:val="3"/>
        <w:tblW w:w="0" w:type="auto"/>
        <w:jc w:val="center"/>
        <w:tblLayout w:type="fixed"/>
        <w:tblCellMar>
          <w:top w:w="0" w:type="dxa"/>
          <w:left w:w="0" w:type="dxa"/>
          <w:bottom w:w="0" w:type="dxa"/>
          <w:right w:w="0" w:type="dxa"/>
        </w:tblCellMar>
      </w:tblPr>
      <w:tblGrid>
        <w:gridCol w:w="2267"/>
        <w:gridCol w:w="2833"/>
        <w:gridCol w:w="3825"/>
      </w:tblGrid>
      <w:tr>
        <w:trPr>
          <w:trHeight w:val="565" w:hRule="atLeast"/>
          <w:jc w:val="center"/>
        </w:trPr>
        <w:tc>
          <w:tcPr>
            <w:tcW w:w="2267" w:type="dxa"/>
            <w:tcBorders>
              <w:top w:val="single" w:color="auto" w:sz="4" w:space="0"/>
              <w:left w:val="single" w:color="auto" w:sz="4" w:space="0"/>
              <w:bottom w:val="single" w:color="auto" w:sz="4" w:space="0"/>
              <w:right w:val="single" w:color="auto" w:sz="4" w:space="0"/>
            </w:tcBorders>
            <w:noWrap w:val="0"/>
            <w:vAlign w:val="center"/>
          </w:tcPr>
          <w:p>
            <w:pPr>
              <w:tabs>
                <w:tab w:val="left" w:pos="2115"/>
              </w:tabs>
              <w:spacing w:line="420" w:lineRule="exact"/>
              <w:jc w:val="center"/>
              <w:rPr>
                <w:rFonts w:eastAsia="黑体"/>
                <w:color w:val="000000"/>
                <w:kern w:val="0"/>
                <w:sz w:val="24"/>
              </w:rPr>
            </w:pPr>
            <w:r>
              <w:rPr>
                <w:rFonts w:hint="eastAsia" w:eastAsia="黑体"/>
                <w:color w:val="000000"/>
                <w:kern w:val="0"/>
                <w:sz w:val="24"/>
              </w:rPr>
              <w:t>评标类型</w:t>
            </w:r>
          </w:p>
        </w:tc>
        <w:tc>
          <w:tcPr>
            <w:tcW w:w="283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20" w:lineRule="exact"/>
              <w:jc w:val="center"/>
              <w:rPr>
                <w:rFonts w:eastAsia="黑体"/>
                <w:color w:val="000000"/>
                <w:kern w:val="0"/>
                <w:sz w:val="24"/>
              </w:rPr>
            </w:pPr>
            <w:r>
              <w:rPr>
                <w:rFonts w:hint="eastAsia" w:eastAsia="黑体"/>
                <w:color w:val="000000"/>
                <w:kern w:val="0"/>
                <w:sz w:val="24"/>
              </w:rPr>
              <w:t>评标时长</w:t>
            </w:r>
          </w:p>
        </w:tc>
        <w:tc>
          <w:tcPr>
            <w:tcW w:w="3825" w:type="dxa"/>
            <w:tcBorders>
              <w:top w:val="single" w:color="auto" w:sz="8" w:space="0"/>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widowControl/>
              <w:spacing w:line="420" w:lineRule="exact"/>
              <w:jc w:val="center"/>
              <w:rPr>
                <w:rFonts w:eastAsia="黑体"/>
                <w:color w:val="000000"/>
                <w:kern w:val="0"/>
                <w:sz w:val="24"/>
              </w:rPr>
            </w:pPr>
            <w:r>
              <w:rPr>
                <w:rFonts w:hint="eastAsia" w:eastAsia="黑体"/>
                <w:color w:val="000000"/>
                <w:kern w:val="0"/>
                <w:sz w:val="24"/>
              </w:rPr>
              <w:t>专家劳务费（税后）参考标准</w:t>
            </w:r>
          </w:p>
        </w:tc>
      </w:tr>
      <w:tr>
        <w:tblPrEx>
          <w:tblCellMar>
            <w:top w:w="0" w:type="dxa"/>
            <w:left w:w="0" w:type="dxa"/>
            <w:bottom w:w="0" w:type="dxa"/>
            <w:right w:w="0" w:type="dxa"/>
          </w:tblCellMar>
        </w:tblPrEx>
        <w:trPr>
          <w:trHeight w:val="565" w:hRule="atLeast"/>
          <w:jc w:val="center"/>
        </w:trPr>
        <w:tc>
          <w:tcPr>
            <w:tcW w:w="2267" w:type="dxa"/>
            <w:vMerge w:val="restart"/>
            <w:tcBorders>
              <w:top w:val="single" w:color="auto" w:sz="4" w:space="0"/>
              <w:left w:val="single" w:color="auto" w:sz="8" w:space="0"/>
              <w:bottom w:val="nil"/>
              <w:right w:val="single" w:color="auto" w:sz="8" w:space="0"/>
            </w:tcBorders>
            <w:noWrap w:val="0"/>
            <w:vAlign w:val="center"/>
          </w:tcPr>
          <w:p>
            <w:pPr>
              <w:tabs>
                <w:tab w:val="left" w:pos="2115"/>
              </w:tabs>
              <w:spacing w:line="420" w:lineRule="exact"/>
              <w:jc w:val="center"/>
              <w:rPr>
                <w:color w:val="000000"/>
                <w:kern w:val="0"/>
                <w:sz w:val="24"/>
              </w:rPr>
            </w:pPr>
            <w:r>
              <w:rPr>
                <w:rFonts w:hint="eastAsia"/>
                <w:color w:val="000000"/>
                <w:kern w:val="0"/>
                <w:sz w:val="24"/>
              </w:rPr>
              <w:t>当日评标</w:t>
            </w:r>
          </w:p>
        </w:tc>
        <w:tc>
          <w:tcPr>
            <w:tcW w:w="2833"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420" w:lineRule="exact"/>
              <w:jc w:val="center"/>
              <w:rPr>
                <w:color w:val="000000"/>
                <w:kern w:val="0"/>
                <w:sz w:val="24"/>
              </w:rPr>
            </w:pPr>
            <w:r>
              <w:rPr>
                <w:color w:val="000000"/>
                <w:kern w:val="0"/>
                <w:sz w:val="24"/>
              </w:rPr>
              <w:t>T ≤3</w:t>
            </w:r>
            <w:r>
              <w:rPr>
                <w:rFonts w:hint="eastAsia"/>
                <w:color w:val="000000"/>
                <w:kern w:val="0"/>
                <w:sz w:val="24"/>
              </w:rPr>
              <w:t>小时</w:t>
            </w:r>
          </w:p>
        </w:tc>
        <w:tc>
          <w:tcPr>
            <w:tcW w:w="382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420" w:lineRule="exact"/>
              <w:jc w:val="center"/>
              <w:rPr>
                <w:color w:val="000000"/>
                <w:kern w:val="0"/>
                <w:sz w:val="24"/>
              </w:rPr>
            </w:pPr>
            <w:r>
              <w:rPr>
                <w:color w:val="000000"/>
                <w:kern w:val="0"/>
                <w:sz w:val="24"/>
              </w:rPr>
              <w:t>600</w:t>
            </w:r>
          </w:p>
        </w:tc>
      </w:tr>
      <w:tr>
        <w:tblPrEx>
          <w:tblCellMar>
            <w:top w:w="0" w:type="dxa"/>
            <w:left w:w="0" w:type="dxa"/>
            <w:bottom w:w="0" w:type="dxa"/>
            <w:right w:w="0" w:type="dxa"/>
          </w:tblCellMar>
        </w:tblPrEx>
        <w:trPr>
          <w:trHeight w:val="572" w:hRule="atLeast"/>
          <w:jc w:val="center"/>
        </w:trPr>
        <w:tc>
          <w:tcPr>
            <w:tcW w:w="2267" w:type="dxa"/>
            <w:vMerge w:val="continue"/>
            <w:tcBorders>
              <w:top w:val="single" w:color="auto" w:sz="4" w:space="0"/>
              <w:left w:val="single" w:color="auto" w:sz="8" w:space="0"/>
              <w:bottom w:val="nil"/>
              <w:right w:val="single" w:color="auto" w:sz="8" w:space="0"/>
            </w:tcBorders>
            <w:noWrap w:val="0"/>
            <w:vAlign w:val="center"/>
          </w:tcPr>
          <w:p>
            <w:pPr>
              <w:widowControl/>
              <w:jc w:val="left"/>
              <w:rPr>
                <w:color w:val="000000"/>
                <w:kern w:val="0"/>
                <w:sz w:val="24"/>
              </w:rPr>
            </w:pPr>
          </w:p>
        </w:tc>
        <w:tc>
          <w:tcPr>
            <w:tcW w:w="2833" w:type="dxa"/>
            <w:tcBorders>
              <w:top w:val="nil"/>
              <w:left w:val="single" w:color="auto" w:sz="8" w:space="0"/>
              <w:bottom w:val="nil"/>
              <w:right w:val="single" w:color="auto" w:sz="8" w:space="0"/>
            </w:tcBorders>
            <w:noWrap w:val="0"/>
            <w:tcMar>
              <w:top w:w="0" w:type="dxa"/>
              <w:left w:w="108" w:type="dxa"/>
              <w:bottom w:w="0" w:type="dxa"/>
              <w:right w:w="108" w:type="dxa"/>
            </w:tcMar>
            <w:vAlign w:val="center"/>
          </w:tcPr>
          <w:p>
            <w:pPr>
              <w:widowControl/>
              <w:spacing w:line="420" w:lineRule="exact"/>
              <w:jc w:val="center"/>
              <w:rPr>
                <w:color w:val="000000"/>
                <w:kern w:val="0"/>
                <w:sz w:val="24"/>
              </w:rPr>
            </w:pPr>
            <w:r>
              <w:rPr>
                <w:color w:val="000000"/>
                <w:kern w:val="0"/>
                <w:sz w:val="24"/>
              </w:rPr>
              <w:t xml:space="preserve"> 11</w:t>
            </w:r>
            <w:r>
              <w:rPr>
                <w:rFonts w:hint="eastAsia"/>
                <w:color w:val="000000"/>
                <w:kern w:val="0"/>
                <w:sz w:val="24"/>
              </w:rPr>
              <w:t>小时</w:t>
            </w:r>
            <w:r>
              <w:rPr>
                <w:color w:val="000000"/>
                <w:kern w:val="0"/>
                <w:sz w:val="24"/>
              </w:rPr>
              <w:t>≥T &gt; 3</w:t>
            </w:r>
            <w:r>
              <w:rPr>
                <w:rFonts w:hint="eastAsia"/>
                <w:color w:val="000000"/>
                <w:kern w:val="0"/>
                <w:sz w:val="24"/>
              </w:rPr>
              <w:t>小时</w:t>
            </w:r>
          </w:p>
        </w:tc>
        <w:tc>
          <w:tcPr>
            <w:tcW w:w="3825"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420" w:lineRule="exact"/>
              <w:jc w:val="center"/>
              <w:rPr>
                <w:color w:val="000000"/>
                <w:kern w:val="0"/>
                <w:sz w:val="24"/>
              </w:rPr>
            </w:pPr>
            <w:r>
              <w:rPr>
                <w:color w:val="000000"/>
                <w:kern w:val="0"/>
                <w:sz w:val="24"/>
              </w:rPr>
              <w:t>600+</w:t>
            </w:r>
            <w:r>
              <w:rPr>
                <w:rFonts w:hint="eastAsia"/>
                <w:color w:val="000000"/>
                <w:kern w:val="0"/>
                <w:sz w:val="24"/>
              </w:rPr>
              <w:t>（</w:t>
            </w:r>
            <w:r>
              <w:rPr>
                <w:color w:val="000000"/>
                <w:kern w:val="0"/>
                <w:sz w:val="24"/>
              </w:rPr>
              <w:t>T-3</w:t>
            </w:r>
            <w:r>
              <w:rPr>
                <w:rFonts w:hint="eastAsia"/>
                <w:color w:val="000000"/>
                <w:kern w:val="0"/>
                <w:sz w:val="24"/>
              </w:rPr>
              <w:t>）</w:t>
            </w:r>
            <w:r>
              <w:rPr>
                <w:color w:val="000000"/>
                <w:kern w:val="0"/>
                <w:sz w:val="24"/>
              </w:rPr>
              <w:t>*100</w:t>
            </w:r>
          </w:p>
        </w:tc>
      </w:tr>
      <w:tr>
        <w:tblPrEx>
          <w:tblCellMar>
            <w:top w:w="0" w:type="dxa"/>
            <w:left w:w="0" w:type="dxa"/>
            <w:bottom w:w="0" w:type="dxa"/>
            <w:right w:w="0" w:type="dxa"/>
          </w:tblCellMar>
        </w:tblPrEx>
        <w:trPr>
          <w:trHeight w:val="552" w:hRule="atLeast"/>
          <w:jc w:val="center"/>
        </w:trPr>
        <w:tc>
          <w:tcPr>
            <w:tcW w:w="22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abs>
                <w:tab w:val="left" w:pos="2115"/>
              </w:tabs>
              <w:spacing w:line="420" w:lineRule="exact"/>
              <w:jc w:val="center"/>
              <w:rPr>
                <w:color w:val="000000"/>
                <w:kern w:val="0"/>
                <w:sz w:val="24"/>
              </w:rPr>
            </w:pPr>
            <w:r>
              <w:rPr>
                <w:rFonts w:hint="eastAsia"/>
                <w:color w:val="000000"/>
                <w:kern w:val="0"/>
                <w:sz w:val="24"/>
              </w:rPr>
              <w:t>隔夜评标</w:t>
            </w:r>
          </w:p>
        </w:tc>
        <w:tc>
          <w:tcPr>
            <w:tcW w:w="283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20" w:lineRule="exact"/>
              <w:jc w:val="center"/>
              <w:rPr>
                <w:color w:val="000000"/>
                <w:kern w:val="0"/>
                <w:sz w:val="24"/>
              </w:rPr>
            </w:pPr>
            <w:r>
              <w:rPr>
                <w:color w:val="000000"/>
                <w:kern w:val="0"/>
                <w:sz w:val="24"/>
              </w:rPr>
              <w:t>T ≤3</w:t>
            </w:r>
            <w:r>
              <w:rPr>
                <w:rFonts w:hint="eastAsia"/>
                <w:color w:val="000000"/>
                <w:kern w:val="0"/>
                <w:sz w:val="24"/>
              </w:rPr>
              <w:t>小时</w:t>
            </w:r>
            <w:r>
              <w:rPr>
                <w:color w:val="000000"/>
                <w:kern w:val="0"/>
                <w:sz w:val="24"/>
              </w:rPr>
              <w:t xml:space="preserve">  </w:t>
            </w:r>
          </w:p>
        </w:tc>
        <w:tc>
          <w:tcPr>
            <w:tcW w:w="382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20" w:lineRule="exact"/>
              <w:jc w:val="center"/>
              <w:rPr>
                <w:color w:val="000000"/>
                <w:kern w:val="0"/>
                <w:sz w:val="24"/>
              </w:rPr>
            </w:pPr>
            <w:r>
              <w:rPr>
                <w:color w:val="000000"/>
                <w:kern w:val="0"/>
                <w:sz w:val="24"/>
              </w:rPr>
              <w:t>700</w:t>
            </w:r>
          </w:p>
        </w:tc>
      </w:tr>
      <w:tr>
        <w:tblPrEx>
          <w:tblCellMar>
            <w:top w:w="0" w:type="dxa"/>
            <w:left w:w="0" w:type="dxa"/>
            <w:bottom w:w="0" w:type="dxa"/>
            <w:right w:w="0" w:type="dxa"/>
          </w:tblCellMar>
        </w:tblPrEx>
        <w:trPr>
          <w:trHeight w:val="552" w:hRule="atLeast"/>
          <w:jc w:val="center"/>
        </w:trPr>
        <w:tc>
          <w:tcPr>
            <w:tcW w:w="22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kern w:val="0"/>
                <w:sz w:val="24"/>
              </w:rPr>
            </w:pPr>
          </w:p>
        </w:tc>
        <w:tc>
          <w:tcPr>
            <w:tcW w:w="283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20" w:lineRule="exact"/>
              <w:jc w:val="center"/>
              <w:rPr>
                <w:color w:val="000000"/>
                <w:kern w:val="0"/>
                <w:sz w:val="24"/>
              </w:rPr>
            </w:pPr>
            <w:r>
              <w:rPr>
                <w:color w:val="000000"/>
                <w:kern w:val="0"/>
                <w:sz w:val="24"/>
              </w:rPr>
              <w:t xml:space="preserve"> T &gt; 3</w:t>
            </w:r>
            <w:r>
              <w:rPr>
                <w:rFonts w:hint="eastAsia"/>
                <w:color w:val="000000"/>
                <w:kern w:val="0"/>
                <w:sz w:val="24"/>
              </w:rPr>
              <w:t>小时</w:t>
            </w:r>
          </w:p>
        </w:tc>
        <w:tc>
          <w:tcPr>
            <w:tcW w:w="382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20" w:lineRule="exact"/>
              <w:jc w:val="center"/>
              <w:rPr>
                <w:color w:val="000000"/>
                <w:kern w:val="0"/>
                <w:sz w:val="24"/>
              </w:rPr>
            </w:pPr>
            <w:r>
              <w:rPr>
                <w:color w:val="000000"/>
                <w:kern w:val="0"/>
                <w:sz w:val="24"/>
              </w:rPr>
              <w:t>700+</w:t>
            </w:r>
            <w:r>
              <w:rPr>
                <w:rFonts w:hint="eastAsia"/>
                <w:color w:val="000000"/>
                <w:kern w:val="0"/>
                <w:sz w:val="24"/>
              </w:rPr>
              <w:t>（</w:t>
            </w:r>
            <w:r>
              <w:rPr>
                <w:color w:val="000000"/>
                <w:kern w:val="0"/>
                <w:sz w:val="24"/>
              </w:rPr>
              <w:t>T-3</w:t>
            </w:r>
            <w:r>
              <w:rPr>
                <w:rFonts w:hint="eastAsia"/>
                <w:color w:val="000000"/>
                <w:kern w:val="0"/>
                <w:sz w:val="24"/>
              </w:rPr>
              <w:t>）</w:t>
            </w:r>
            <w:r>
              <w:rPr>
                <w:color w:val="000000"/>
                <w:kern w:val="0"/>
                <w:sz w:val="24"/>
              </w:rPr>
              <w:t>*100</w:t>
            </w:r>
          </w:p>
        </w:tc>
      </w:tr>
    </w:tbl>
    <w:p>
      <w:pPr>
        <w:pStyle w:val="2"/>
        <w:spacing w:line="596" w:lineRule="exact"/>
        <w:ind w:firstLine="640" w:firstLineChars="200"/>
        <w:jc w:val="both"/>
        <w:rPr>
          <w:rFonts w:ascii="Calibri" w:hAnsi="Calibri" w:eastAsia="仿宋_GB2312"/>
          <w:color w:val="000000"/>
          <w:sz w:val="32"/>
          <w:szCs w:val="32"/>
        </w:rPr>
      </w:pPr>
      <w:r>
        <w:rPr>
          <w:rFonts w:hint="eastAsia" w:eastAsia="仿宋_GB2312"/>
          <w:color w:val="000000"/>
          <w:sz w:val="32"/>
          <w:szCs w:val="32"/>
        </w:rPr>
        <w:t>注：</w:t>
      </w:r>
      <w:r>
        <w:rPr>
          <w:rFonts w:eastAsia="仿宋_GB2312"/>
          <w:color w:val="000000"/>
          <w:sz w:val="32"/>
          <w:szCs w:val="32"/>
        </w:rPr>
        <w:t>1.</w:t>
      </w:r>
      <w:r>
        <w:rPr>
          <w:rFonts w:hint="eastAsia" w:eastAsia="仿宋_GB2312"/>
          <w:color w:val="000000"/>
          <w:sz w:val="32"/>
          <w:szCs w:val="32"/>
        </w:rPr>
        <w:t>湖南省综合评标专家库不向评标专家发放劳务报酬，评标专家劳务报酬按照</w:t>
      </w:r>
      <w:r>
        <w:rPr>
          <w:rFonts w:eastAsia="仿宋_GB2312"/>
          <w:color w:val="000000"/>
          <w:sz w:val="32"/>
          <w:szCs w:val="32"/>
        </w:rPr>
        <w:t>“</w:t>
      </w:r>
      <w:r>
        <w:rPr>
          <w:rFonts w:hint="eastAsia" w:eastAsia="仿宋_GB2312"/>
          <w:color w:val="000000"/>
          <w:sz w:val="32"/>
          <w:szCs w:val="32"/>
        </w:rPr>
        <w:t>谁使用、谁付费</w:t>
      </w:r>
      <w:r>
        <w:rPr>
          <w:rFonts w:eastAsia="仿宋_GB2312"/>
          <w:color w:val="000000"/>
          <w:sz w:val="32"/>
          <w:szCs w:val="32"/>
        </w:rPr>
        <w:t>”</w:t>
      </w:r>
      <w:r>
        <w:rPr>
          <w:rFonts w:hint="eastAsia" w:eastAsia="仿宋_GB2312"/>
          <w:color w:val="000000"/>
          <w:sz w:val="32"/>
          <w:szCs w:val="32"/>
        </w:rPr>
        <w:t>的原则，在评标专家评标工作结束后</w:t>
      </w:r>
      <w:r>
        <w:rPr>
          <w:rFonts w:eastAsia="仿宋_GB2312"/>
          <w:color w:val="000000"/>
          <w:sz w:val="32"/>
          <w:szCs w:val="32"/>
        </w:rPr>
        <w:t>10</w:t>
      </w:r>
      <w:r>
        <w:rPr>
          <w:rFonts w:hint="eastAsia" w:eastAsia="仿宋_GB2312"/>
          <w:color w:val="000000"/>
          <w:sz w:val="32"/>
          <w:szCs w:val="32"/>
        </w:rPr>
        <w:t>个工作日内，由交易项目发起方或其委托的代理机构统一支付，原则上采取银行转账方式。评标专家不得索要其他费用。</w:t>
      </w:r>
    </w:p>
    <w:p>
      <w:pPr>
        <w:adjustRightInd w:val="0"/>
        <w:snapToGrid w:val="0"/>
        <w:spacing w:line="596" w:lineRule="exact"/>
        <w:ind w:firstLine="640" w:firstLineChars="200"/>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湖南省综合评标专家劳务</w:t>
      </w:r>
      <w:r>
        <w:rPr>
          <w:rFonts w:hint="eastAsia" w:eastAsia="仿宋_GB2312"/>
          <w:color w:val="000000"/>
          <w:sz w:val="32"/>
          <w:szCs w:val="32"/>
        </w:rPr>
        <w:t>报酬</w:t>
      </w:r>
      <w:r>
        <w:rPr>
          <w:rFonts w:hint="eastAsia" w:eastAsia="仿宋_GB2312"/>
          <w:color w:val="000000"/>
          <w:kern w:val="0"/>
          <w:sz w:val="32"/>
          <w:szCs w:val="32"/>
        </w:rPr>
        <w:t>按评标时间计算，基准时间为</w:t>
      </w:r>
      <w:r>
        <w:rPr>
          <w:rFonts w:eastAsia="仿宋_GB2312"/>
          <w:color w:val="000000"/>
          <w:kern w:val="0"/>
          <w:sz w:val="32"/>
          <w:szCs w:val="32"/>
        </w:rPr>
        <w:t>3</w:t>
      </w:r>
      <w:r>
        <w:rPr>
          <w:rFonts w:hint="eastAsia" w:eastAsia="仿宋_GB2312"/>
          <w:color w:val="000000"/>
          <w:kern w:val="0"/>
          <w:sz w:val="32"/>
          <w:szCs w:val="32"/>
        </w:rPr>
        <w:t>小时，超过时数在</w:t>
      </w:r>
      <w:r>
        <w:rPr>
          <w:rFonts w:eastAsia="仿宋_GB2312"/>
          <w:color w:val="000000"/>
          <w:kern w:val="0"/>
          <w:sz w:val="32"/>
          <w:szCs w:val="32"/>
        </w:rPr>
        <w:t>0.5</w:t>
      </w:r>
      <w:r>
        <w:rPr>
          <w:rFonts w:hint="eastAsia" w:eastAsia="仿宋_GB2312"/>
          <w:color w:val="000000"/>
          <w:kern w:val="0"/>
          <w:sz w:val="32"/>
          <w:szCs w:val="32"/>
        </w:rPr>
        <w:t>小时以内（含</w:t>
      </w:r>
      <w:r>
        <w:rPr>
          <w:rFonts w:eastAsia="仿宋_GB2312"/>
          <w:color w:val="000000"/>
          <w:kern w:val="0"/>
          <w:sz w:val="32"/>
          <w:szCs w:val="32"/>
        </w:rPr>
        <w:t>0.5</w:t>
      </w:r>
      <w:r>
        <w:rPr>
          <w:rFonts w:hint="eastAsia" w:eastAsia="仿宋_GB2312"/>
          <w:color w:val="000000"/>
          <w:kern w:val="0"/>
          <w:sz w:val="32"/>
          <w:szCs w:val="32"/>
        </w:rPr>
        <w:t>小时）的按增加</w:t>
      </w:r>
      <w:r>
        <w:rPr>
          <w:rFonts w:eastAsia="仿宋_GB2312"/>
          <w:color w:val="000000"/>
          <w:kern w:val="0"/>
          <w:sz w:val="32"/>
          <w:szCs w:val="32"/>
        </w:rPr>
        <w:t>0.5</w:t>
      </w:r>
      <w:r>
        <w:rPr>
          <w:rFonts w:hint="eastAsia" w:eastAsia="仿宋_GB2312"/>
          <w:color w:val="000000"/>
          <w:kern w:val="0"/>
          <w:sz w:val="32"/>
          <w:szCs w:val="32"/>
        </w:rPr>
        <w:t>小时计算，</w:t>
      </w:r>
      <w:r>
        <w:rPr>
          <w:rFonts w:eastAsia="仿宋_GB2312"/>
          <w:color w:val="000000"/>
          <w:kern w:val="0"/>
          <w:sz w:val="32"/>
          <w:szCs w:val="32"/>
        </w:rPr>
        <w:t>0.5</w:t>
      </w:r>
      <w:r>
        <w:rPr>
          <w:rFonts w:hint="eastAsia" w:eastAsia="仿宋_GB2312"/>
          <w:color w:val="000000"/>
          <w:kern w:val="0"/>
          <w:sz w:val="32"/>
          <w:szCs w:val="32"/>
        </w:rPr>
        <w:t>小时以上至</w:t>
      </w:r>
      <w:r>
        <w:rPr>
          <w:rFonts w:eastAsia="仿宋_GB2312"/>
          <w:color w:val="000000"/>
          <w:kern w:val="0"/>
          <w:sz w:val="32"/>
          <w:szCs w:val="32"/>
        </w:rPr>
        <w:t>1</w:t>
      </w:r>
      <w:r>
        <w:rPr>
          <w:rFonts w:hint="eastAsia" w:eastAsia="仿宋_GB2312"/>
          <w:color w:val="000000"/>
          <w:kern w:val="0"/>
          <w:sz w:val="32"/>
          <w:szCs w:val="32"/>
        </w:rPr>
        <w:t>小时按增加</w:t>
      </w:r>
      <w:r>
        <w:rPr>
          <w:rFonts w:eastAsia="仿宋_GB2312"/>
          <w:color w:val="000000"/>
          <w:kern w:val="0"/>
          <w:sz w:val="32"/>
          <w:szCs w:val="32"/>
        </w:rPr>
        <w:t>1</w:t>
      </w:r>
      <w:r>
        <w:rPr>
          <w:rFonts w:hint="eastAsia" w:eastAsia="仿宋_GB2312"/>
          <w:color w:val="000000"/>
          <w:kern w:val="0"/>
          <w:sz w:val="32"/>
          <w:szCs w:val="32"/>
        </w:rPr>
        <w:t>小时计算。另外，</w:t>
      </w:r>
      <w:r>
        <w:rPr>
          <w:rFonts w:eastAsia="仿宋_GB2312"/>
          <w:color w:val="000000"/>
          <w:kern w:val="0"/>
          <w:sz w:val="32"/>
          <w:szCs w:val="32"/>
        </w:rPr>
        <w:t>0.5</w:t>
      </w:r>
      <w:r>
        <w:rPr>
          <w:rFonts w:hint="eastAsia" w:eastAsia="仿宋_GB2312"/>
          <w:color w:val="000000"/>
          <w:kern w:val="0"/>
          <w:sz w:val="32"/>
          <w:szCs w:val="32"/>
        </w:rPr>
        <w:t>小时内的休息时间计入评标时间，发放专家劳务报酬。</w:t>
      </w:r>
    </w:p>
    <w:p>
      <w:pPr>
        <w:adjustRightInd w:val="0"/>
        <w:snapToGrid w:val="0"/>
        <w:spacing w:line="596" w:lineRule="exact"/>
        <w:ind w:firstLine="640" w:firstLineChars="200"/>
        <w:rPr>
          <w:rFonts w:eastAsia="仿宋_GB2312"/>
          <w:color w:val="000000"/>
          <w:kern w:val="0"/>
          <w:sz w:val="32"/>
          <w:szCs w:val="32"/>
        </w:rPr>
      </w:pPr>
      <w:r>
        <w:rPr>
          <w:rFonts w:eastAsia="仿宋_GB2312"/>
          <w:color w:val="000000"/>
          <w:kern w:val="0"/>
          <w:sz w:val="32"/>
          <w:szCs w:val="32"/>
        </w:rPr>
        <w:t>3.</w:t>
      </w:r>
      <w:r>
        <w:rPr>
          <w:rFonts w:hint="eastAsia" w:eastAsia="仿宋_GB2312"/>
          <w:color w:val="000000"/>
          <w:sz w:val="32"/>
          <w:szCs w:val="32"/>
        </w:rPr>
        <w:t>劳务报酬</w:t>
      </w:r>
      <w:r>
        <w:rPr>
          <w:rFonts w:hint="eastAsia" w:eastAsia="仿宋_GB2312"/>
          <w:color w:val="000000"/>
          <w:kern w:val="0"/>
          <w:sz w:val="32"/>
          <w:szCs w:val="32"/>
        </w:rPr>
        <w:t>计费起始时间为专家抽取系统设定的评标专家集合时间，计费结束时间为全体评标专家完成评标报告的时间。评标专家不得故意拖延评标时间，否则，不计入评标劳务报酬。远程异地评标专家评标劳务报酬的标准统一按照主场的标准执行。</w:t>
      </w:r>
    </w:p>
    <w:p>
      <w:pPr>
        <w:adjustRightInd w:val="0"/>
        <w:snapToGrid w:val="0"/>
        <w:spacing w:line="596" w:lineRule="exact"/>
        <w:ind w:firstLine="640" w:firstLineChars="200"/>
        <w:rPr>
          <w:rFonts w:eastAsia="仿宋_GB2312"/>
          <w:color w:val="000000"/>
          <w:kern w:val="0"/>
          <w:sz w:val="32"/>
          <w:szCs w:val="32"/>
        </w:rPr>
      </w:pPr>
      <w:r>
        <w:rPr>
          <w:rFonts w:eastAsia="仿宋_GB2312"/>
          <w:color w:val="000000"/>
          <w:kern w:val="0"/>
          <w:sz w:val="32"/>
          <w:szCs w:val="32"/>
        </w:rPr>
        <w:t>4.</w:t>
      </w:r>
      <w:r>
        <w:rPr>
          <w:rFonts w:hint="eastAsia" w:eastAsia="仿宋_GB2312"/>
          <w:color w:val="000000"/>
          <w:kern w:val="0"/>
          <w:sz w:val="32"/>
          <w:szCs w:val="32"/>
        </w:rPr>
        <w:t>评标专家评标期间应适当安排休息（当日评标时间原则上不得超过</w:t>
      </w:r>
      <w:r>
        <w:rPr>
          <w:rFonts w:eastAsia="仿宋_GB2312"/>
          <w:color w:val="000000"/>
          <w:kern w:val="0"/>
          <w:sz w:val="32"/>
          <w:szCs w:val="32"/>
        </w:rPr>
        <w:t>8</w:t>
      </w:r>
      <w:r>
        <w:rPr>
          <w:rFonts w:hint="eastAsia" w:eastAsia="仿宋_GB2312"/>
          <w:color w:val="000000"/>
          <w:kern w:val="0"/>
          <w:sz w:val="32"/>
          <w:szCs w:val="32"/>
        </w:rPr>
        <w:t>小时，因特殊情况需要延长评标时间的，在保障评标专家身体健康的条件下可延长评标时间至</w:t>
      </w:r>
      <w:r>
        <w:rPr>
          <w:rFonts w:eastAsia="仿宋_GB2312"/>
          <w:color w:val="000000"/>
          <w:kern w:val="0"/>
          <w:sz w:val="32"/>
          <w:szCs w:val="32"/>
        </w:rPr>
        <w:t>11</w:t>
      </w:r>
      <w:r>
        <w:rPr>
          <w:rFonts w:hint="eastAsia" w:eastAsia="仿宋_GB2312"/>
          <w:color w:val="000000"/>
          <w:kern w:val="0"/>
          <w:sz w:val="32"/>
          <w:szCs w:val="32"/>
        </w:rPr>
        <w:t>个小时），以保证评标质量。评标结束时间超过当日</w:t>
      </w:r>
      <w:r>
        <w:rPr>
          <w:rFonts w:eastAsia="仿宋_GB2312"/>
          <w:color w:val="000000"/>
          <w:kern w:val="0"/>
          <w:sz w:val="32"/>
          <w:szCs w:val="32"/>
        </w:rPr>
        <w:t>12</w:t>
      </w:r>
      <w:r>
        <w:rPr>
          <w:rFonts w:hint="eastAsia" w:eastAsia="仿宋_GB2312"/>
          <w:color w:val="000000"/>
          <w:kern w:val="0"/>
          <w:sz w:val="32"/>
          <w:szCs w:val="32"/>
        </w:rPr>
        <w:t>：</w:t>
      </w:r>
      <w:r>
        <w:rPr>
          <w:rFonts w:eastAsia="仿宋_GB2312"/>
          <w:color w:val="000000"/>
          <w:kern w:val="0"/>
          <w:sz w:val="32"/>
          <w:szCs w:val="32"/>
        </w:rPr>
        <w:t>00</w:t>
      </w:r>
      <w:r>
        <w:rPr>
          <w:rFonts w:hint="eastAsia" w:eastAsia="仿宋_GB2312"/>
          <w:color w:val="000000"/>
          <w:kern w:val="0"/>
          <w:sz w:val="32"/>
          <w:szCs w:val="32"/>
        </w:rPr>
        <w:t>或</w:t>
      </w:r>
      <w:r>
        <w:rPr>
          <w:rFonts w:eastAsia="仿宋_GB2312"/>
          <w:color w:val="000000"/>
          <w:kern w:val="0"/>
          <w:sz w:val="32"/>
          <w:szCs w:val="32"/>
        </w:rPr>
        <w:t>18</w:t>
      </w:r>
      <w:r>
        <w:rPr>
          <w:rFonts w:hint="eastAsia" w:eastAsia="仿宋_GB2312"/>
          <w:color w:val="000000"/>
          <w:kern w:val="0"/>
          <w:sz w:val="32"/>
          <w:szCs w:val="32"/>
        </w:rPr>
        <w:t>：</w:t>
      </w:r>
      <w:r>
        <w:rPr>
          <w:rFonts w:eastAsia="仿宋_GB2312"/>
          <w:color w:val="000000"/>
          <w:kern w:val="0"/>
          <w:sz w:val="32"/>
          <w:szCs w:val="32"/>
        </w:rPr>
        <w:t>00</w:t>
      </w:r>
      <w:r>
        <w:rPr>
          <w:rFonts w:hint="eastAsia" w:eastAsia="仿宋_GB2312"/>
          <w:color w:val="000000"/>
          <w:kern w:val="0"/>
          <w:sz w:val="32"/>
          <w:szCs w:val="32"/>
        </w:rPr>
        <w:t>时，交易项目发起方或其委托的代理机构应当为专家统一安排午餐或晚餐，并承担相关费用。</w:t>
      </w:r>
    </w:p>
    <w:p>
      <w:pPr>
        <w:adjustRightInd w:val="0"/>
        <w:snapToGrid w:val="0"/>
        <w:spacing w:line="596" w:lineRule="exact"/>
        <w:ind w:firstLine="640" w:firstLineChars="200"/>
        <w:rPr>
          <w:rFonts w:eastAsia="仿宋_GB2312"/>
          <w:color w:val="000000"/>
          <w:kern w:val="0"/>
          <w:sz w:val="32"/>
          <w:szCs w:val="32"/>
        </w:rPr>
      </w:pPr>
      <w:r>
        <w:rPr>
          <w:rFonts w:eastAsia="仿宋_GB2312"/>
          <w:color w:val="000000"/>
          <w:kern w:val="0"/>
          <w:sz w:val="32"/>
          <w:szCs w:val="32"/>
        </w:rPr>
        <w:t>5.</w:t>
      </w:r>
      <w:r>
        <w:rPr>
          <w:rFonts w:hint="eastAsia" w:eastAsia="仿宋_GB2312"/>
          <w:color w:val="000000"/>
          <w:kern w:val="0"/>
          <w:sz w:val="32"/>
          <w:szCs w:val="32"/>
        </w:rPr>
        <w:t>评标专家未完成评标工作擅自离开评标现场的，不得发放劳务报酬。组织原评标专家进行复评的，经确认为因评标专家不按照招标文件规定的评标标准和方法评标、对依法应当否决的投标不提出否决意见等情形的、或其他因专家自身原因导致项目复评的，不予发放专家复评劳务报酬。</w:t>
      </w:r>
    </w:p>
    <w:p>
      <w:pPr>
        <w:adjustRightInd w:val="0"/>
        <w:snapToGrid w:val="0"/>
        <w:spacing w:line="596" w:lineRule="exact"/>
        <w:ind w:firstLine="640" w:firstLineChars="200"/>
        <w:rPr>
          <w:rFonts w:eastAsia="仿宋_GB2312"/>
          <w:color w:val="000000"/>
          <w:kern w:val="0"/>
          <w:sz w:val="32"/>
          <w:szCs w:val="32"/>
        </w:rPr>
      </w:pPr>
      <w:r>
        <w:rPr>
          <w:rFonts w:eastAsia="仿宋_GB2312"/>
          <w:color w:val="000000"/>
          <w:kern w:val="0"/>
          <w:sz w:val="32"/>
          <w:szCs w:val="32"/>
        </w:rPr>
        <w:t>6.</w:t>
      </w:r>
      <w:r>
        <w:rPr>
          <w:rFonts w:hint="eastAsia" w:eastAsia="仿宋_GB2312"/>
          <w:color w:val="000000"/>
          <w:kern w:val="0"/>
          <w:sz w:val="32"/>
          <w:szCs w:val="32"/>
        </w:rPr>
        <w:t>评标专家不得以任何理由向招标人、采购人、委托人、出让人等交易项目发起方或其委托的代理机构索要额外劳务报酬。对违反规定的评标专家，由相关部门依法依规处理，并进行公示。</w:t>
      </w:r>
    </w:p>
    <w:p>
      <w:pPr>
        <w:spacing w:line="596" w:lineRule="exact"/>
        <w:rPr>
          <w:rFonts w:eastAsia="仿宋_GB2312"/>
          <w:color w:val="000000"/>
          <w:sz w:val="32"/>
          <w:szCs w:val="32"/>
        </w:rPr>
      </w:pPr>
    </w:p>
    <w:p/>
    <w:p>
      <w:pPr>
        <w:autoSpaceDE w:val="0"/>
        <w:autoSpaceDN w:val="0"/>
        <w:adjustRightInd w:val="0"/>
        <w:spacing w:line="400" w:lineRule="exact"/>
        <w:ind w:left="-2" w:leftChars="-1"/>
        <w:jc w:val="left"/>
        <w:rPr>
          <w:rFonts w:eastAsia="仿宋_GB2312"/>
          <w:color w:val="000000"/>
          <w:kern w:val="0"/>
          <w:sz w:val="32"/>
          <w:szCs w:val="32"/>
        </w:rPr>
      </w:pPr>
      <w:r>
        <w:rPr>
          <w:rFonts w:eastAsia="仿宋_GB2312"/>
          <w:color w:val="000000"/>
          <w:sz w:val="32"/>
          <w:szCs w:val="32"/>
        </w:rPr>
        <w:br w:type="page"/>
      </w:r>
      <w:r>
        <w:rPr>
          <w:rFonts w:eastAsia="仿宋_GB2312"/>
          <w:color w:val="000000"/>
          <w:kern w:val="0"/>
          <w:sz w:val="32"/>
          <w:szCs w:val="32"/>
        </w:rPr>
        <w:t>附件3</w:t>
      </w:r>
    </w:p>
    <w:p>
      <w:pPr>
        <w:autoSpaceDE w:val="0"/>
        <w:autoSpaceDN w:val="0"/>
        <w:adjustRightInd w:val="0"/>
        <w:jc w:val="center"/>
        <w:rPr>
          <w:rFonts w:eastAsia="方正小标宋简体"/>
          <w:color w:val="000000"/>
          <w:kern w:val="0"/>
          <w:sz w:val="42"/>
          <w:szCs w:val="42"/>
        </w:rPr>
      </w:pPr>
      <w:r>
        <w:rPr>
          <w:rFonts w:eastAsia="方正小标宋简体"/>
          <w:color w:val="000000"/>
          <w:kern w:val="0"/>
          <w:sz w:val="42"/>
          <w:szCs w:val="42"/>
        </w:rPr>
        <w:t>评标专家被“打招呼”登记表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3"/>
        <w:gridCol w:w="2420"/>
        <w:gridCol w:w="1729"/>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353" w:type="dxa"/>
            <w:noWrap w:val="0"/>
            <w:vAlign w:val="center"/>
          </w:tcPr>
          <w:p>
            <w:pPr>
              <w:autoSpaceDE w:val="0"/>
              <w:autoSpaceDN w:val="0"/>
              <w:adjustRightInd w:val="0"/>
              <w:spacing w:line="400" w:lineRule="exact"/>
              <w:ind w:left="-2" w:leftChars="-1"/>
              <w:jc w:val="center"/>
              <w:rPr>
                <w:color w:val="000000"/>
                <w:kern w:val="0"/>
                <w:sz w:val="24"/>
              </w:rPr>
            </w:pPr>
            <w:r>
              <w:rPr>
                <w:color w:val="000000"/>
                <w:kern w:val="0"/>
                <w:sz w:val="24"/>
              </w:rPr>
              <w:t>参评项目名称</w:t>
            </w:r>
          </w:p>
        </w:tc>
        <w:tc>
          <w:tcPr>
            <w:tcW w:w="6406" w:type="dxa"/>
            <w:gridSpan w:val="3"/>
            <w:noWrap w:val="0"/>
            <w:vAlign w:val="center"/>
          </w:tcPr>
          <w:p>
            <w:pPr>
              <w:autoSpaceDE w:val="0"/>
              <w:autoSpaceDN w:val="0"/>
              <w:adjustRightInd w:val="0"/>
              <w:spacing w:line="400" w:lineRule="exact"/>
              <w:ind w:firstLine="480" w:firstLineChars="20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759" w:type="dxa"/>
            <w:gridSpan w:val="4"/>
            <w:noWrap w:val="0"/>
            <w:vAlign w:val="center"/>
          </w:tcPr>
          <w:p>
            <w:pPr>
              <w:autoSpaceDE w:val="0"/>
              <w:autoSpaceDN w:val="0"/>
              <w:adjustRightInd w:val="0"/>
              <w:spacing w:line="400" w:lineRule="exact"/>
              <w:jc w:val="center"/>
              <w:rPr>
                <w:color w:val="000000"/>
                <w:kern w:val="0"/>
                <w:sz w:val="24"/>
              </w:rPr>
            </w:pPr>
            <w:r>
              <w:rPr>
                <w:color w:val="000000"/>
                <w:kern w:val="0"/>
                <w:sz w:val="24"/>
              </w:rPr>
              <w:t>“打招呼”人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353" w:type="dxa"/>
            <w:noWrap w:val="0"/>
            <w:vAlign w:val="center"/>
          </w:tcPr>
          <w:p>
            <w:pPr>
              <w:autoSpaceDE w:val="0"/>
              <w:autoSpaceDN w:val="0"/>
              <w:adjustRightInd w:val="0"/>
              <w:spacing w:line="400" w:lineRule="exact"/>
              <w:jc w:val="center"/>
              <w:rPr>
                <w:color w:val="000000"/>
                <w:kern w:val="0"/>
                <w:sz w:val="24"/>
              </w:rPr>
            </w:pPr>
            <w:r>
              <w:rPr>
                <w:color w:val="000000"/>
                <w:kern w:val="0"/>
                <w:sz w:val="24"/>
              </w:rPr>
              <w:t>单   位</w:t>
            </w:r>
          </w:p>
        </w:tc>
        <w:tc>
          <w:tcPr>
            <w:tcW w:w="6406" w:type="dxa"/>
            <w:gridSpan w:val="3"/>
            <w:noWrap w:val="0"/>
            <w:vAlign w:val="center"/>
          </w:tcPr>
          <w:p>
            <w:pPr>
              <w:autoSpaceDE w:val="0"/>
              <w:autoSpaceDN w:val="0"/>
              <w:adjustRightInd w:val="0"/>
              <w:spacing w:line="400" w:lineRule="exact"/>
              <w:ind w:firstLine="480" w:firstLineChars="20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353" w:type="dxa"/>
            <w:noWrap w:val="0"/>
            <w:vAlign w:val="center"/>
          </w:tcPr>
          <w:p>
            <w:pPr>
              <w:autoSpaceDE w:val="0"/>
              <w:autoSpaceDN w:val="0"/>
              <w:adjustRightInd w:val="0"/>
              <w:spacing w:line="400" w:lineRule="exact"/>
              <w:jc w:val="center"/>
              <w:rPr>
                <w:color w:val="000000"/>
                <w:kern w:val="0"/>
                <w:sz w:val="24"/>
              </w:rPr>
            </w:pPr>
            <w:r>
              <w:rPr>
                <w:color w:val="000000"/>
                <w:kern w:val="0"/>
                <w:sz w:val="24"/>
              </w:rPr>
              <w:t>姓   名</w:t>
            </w:r>
          </w:p>
        </w:tc>
        <w:tc>
          <w:tcPr>
            <w:tcW w:w="2420" w:type="dxa"/>
            <w:noWrap w:val="0"/>
            <w:vAlign w:val="center"/>
          </w:tcPr>
          <w:p>
            <w:pPr>
              <w:autoSpaceDE w:val="0"/>
              <w:autoSpaceDN w:val="0"/>
              <w:adjustRightInd w:val="0"/>
              <w:spacing w:line="400" w:lineRule="exact"/>
              <w:ind w:firstLine="480" w:firstLineChars="200"/>
              <w:jc w:val="center"/>
              <w:rPr>
                <w:color w:val="000000"/>
                <w:kern w:val="0"/>
                <w:sz w:val="24"/>
              </w:rPr>
            </w:pPr>
          </w:p>
        </w:tc>
        <w:tc>
          <w:tcPr>
            <w:tcW w:w="1729" w:type="dxa"/>
            <w:noWrap w:val="0"/>
            <w:vAlign w:val="center"/>
          </w:tcPr>
          <w:p>
            <w:pPr>
              <w:autoSpaceDE w:val="0"/>
              <w:autoSpaceDN w:val="0"/>
              <w:adjustRightInd w:val="0"/>
              <w:spacing w:line="400" w:lineRule="exact"/>
              <w:jc w:val="center"/>
              <w:rPr>
                <w:color w:val="000000"/>
                <w:kern w:val="0"/>
                <w:sz w:val="24"/>
              </w:rPr>
            </w:pPr>
            <w:r>
              <w:rPr>
                <w:color w:val="000000"/>
                <w:kern w:val="0"/>
                <w:sz w:val="24"/>
              </w:rPr>
              <w:t>职   务</w:t>
            </w:r>
          </w:p>
        </w:tc>
        <w:tc>
          <w:tcPr>
            <w:tcW w:w="2257" w:type="dxa"/>
            <w:noWrap w:val="0"/>
            <w:vAlign w:val="center"/>
          </w:tcPr>
          <w:p>
            <w:pPr>
              <w:autoSpaceDE w:val="0"/>
              <w:autoSpaceDN w:val="0"/>
              <w:adjustRightInd w:val="0"/>
              <w:spacing w:line="400" w:lineRule="exact"/>
              <w:ind w:firstLine="480" w:firstLineChars="20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353" w:type="dxa"/>
            <w:noWrap w:val="0"/>
            <w:vAlign w:val="center"/>
          </w:tcPr>
          <w:p>
            <w:pPr>
              <w:autoSpaceDE w:val="0"/>
              <w:autoSpaceDN w:val="0"/>
              <w:adjustRightInd w:val="0"/>
              <w:spacing w:line="400" w:lineRule="exact"/>
              <w:jc w:val="center"/>
              <w:rPr>
                <w:color w:val="000000"/>
                <w:kern w:val="0"/>
                <w:sz w:val="24"/>
              </w:rPr>
            </w:pPr>
            <w:r>
              <w:rPr>
                <w:color w:val="000000"/>
                <w:kern w:val="0"/>
                <w:sz w:val="24"/>
              </w:rPr>
              <w:t>方   式</w:t>
            </w:r>
          </w:p>
        </w:tc>
        <w:tc>
          <w:tcPr>
            <w:tcW w:w="2420" w:type="dxa"/>
            <w:noWrap w:val="0"/>
            <w:vAlign w:val="center"/>
          </w:tcPr>
          <w:p>
            <w:pPr>
              <w:autoSpaceDE w:val="0"/>
              <w:autoSpaceDN w:val="0"/>
              <w:adjustRightInd w:val="0"/>
              <w:spacing w:line="400" w:lineRule="exact"/>
              <w:ind w:firstLine="480" w:firstLineChars="200"/>
              <w:jc w:val="center"/>
              <w:rPr>
                <w:color w:val="000000"/>
                <w:kern w:val="0"/>
                <w:sz w:val="24"/>
              </w:rPr>
            </w:pPr>
          </w:p>
        </w:tc>
        <w:tc>
          <w:tcPr>
            <w:tcW w:w="1729" w:type="dxa"/>
            <w:noWrap w:val="0"/>
            <w:vAlign w:val="center"/>
          </w:tcPr>
          <w:p>
            <w:pPr>
              <w:autoSpaceDE w:val="0"/>
              <w:autoSpaceDN w:val="0"/>
              <w:adjustRightInd w:val="0"/>
              <w:spacing w:line="400" w:lineRule="exact"/>
              <w:jc w:val="center"/>
              <w:rPr>
                <w:color w:val="000000"/>
                <w:kern w:val="0"/>
                <w:sz w:val="24"/>
              </w:rPr>
            </w:pPr>
            <w:r>
              <w:rPr>
                <w:color w:val="000000"/>
                <w:kern w:val="0"/>
                <w:sz w:val="24"/>
              </w:rPr>
              <w:t>时   间</w:t>
            </w:r>
          </w:p>
        </w:tc>
        <w:tc>
          <w:tcPr>
            <w:tcW w:w="2257" w:type="dxa"/>
            <w:noWrap w:val="0"/>
            <w:vAlign w:val="center"/>
          </w:tcPr>
          <w:p>
            <w:pPr>
              <w:autoSpaceDE w:val="0"/>
              <w:autoSpaceDN w:val="0"/>
              <w:adjustRightInd w:val="0"/>
              <w:spacing w:line="400" w:lineRule="exact"/>
              <w:ind w:firstLine="480" w:firstLineChars="20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jc w:val="center"/>
        </w:trPr>
        <w:tc>
          <w:tcPr>
            <w:tcW w:w="2353" w:type="dxa"/>
            <w:noWrap w:val="0"/>
            <w:vAlign w:val="center"/>
          </w:tcPr>
          <w:p>
            <w:pPr>
              <w:autoSpaceDE w:val="0"/>
              <w:autoSpaceDN w:val="0"/>
              <w:adjustRightInd w:val="0"/>
              <w:spacing w:line="400" w:lineRule="exact"/>
              <w:jc w:val="center"/>
              <w:rPr>
                <w:color w:val="000000"/>
                <w:kern w:val="0"/>
                <w:sz w:val="24"/>
              </w:rPr>
            </w:pPr>
            <w:r>
              <w:rPr>
                <w:color w:val="000000"/>
                <w:kern w:val="0"/>
                <w:sz w:val="24"/>
              </w:rPr>
              <w:t>“打招呼”具体事项</w:t>
            </w:r>
          </w:p>
        </w:tc>
        <w:tc>
          <w:tcPr>
            <w:tcW w:w="6406" w:type="dxa"/>
            <w:gridSpan w:val="3"/>
            <w:noWrap w:val="0"/>
            <w:vAlign w:val="center"/>
          </w:tcPr>
          <w:p>
            <w:pPr>
              <w:autoSpaceDE w:val="0"/>
              <w:autoSpaceDN w:val="0"/>
              <w:adjustRightInd w:val="0"/>
              <w:spacing w:line="400" w:lineRule="exact"/>
              <w:ind w:firstLine="480" w:firstLineChars="20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759" w:type="dxa"/>
            <w:gridSpan w:val="4"/>
            <w:noWrap w:val="0"/>
            <w:vAlign w:val="center"/>
          </w:tcPr>
          <w:p>
            <w:pPr>
              <w:autoSpaceDE w:val="0"/>
              <w:autoSpaceDN w:val="0"/>
              <w:adjustRightInd w:val="0"/>
              <w:spacing w:line="400" w:lineRule="exact"/>
              <w:jc w:val="center"/>
              <w:rPr>
                <w:color w:val="000000"/>
                <w:kern w:val="0"/>
                <w:sz w:val="24"/>
              </w:rPr>
            </w:pPr>
            <w:r>
              <w:rPr>
                <w:color w:val="000000"/>
                <w:kern w:val="0"/>
                <w:sz w:val="24"/>
              </w:rPr>
              <w:t>被“打招呼”人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353" w:type="dxa"/>
            <w:noWrap w:val="0"/>
            <w:vAlign w:val="center"/>
          </w:tcPr>
          <w:p>
            <w:pPr>
              <w:autoSpaceDE w:val="0"/>
              <w:autoSpaceDN w:val="0"/>
              <w:adjustRightInd w:val="0"/>
              <w:spacing w:line="400" w:lineRule="exact"/>
              <w:ind w:left="-2" w:leftChars="-1"/>
              <w:jc w:val="center"/>
              <w:rPr>
                <w:color w:val="000000"/>
                <w:kern w:val="0"/>
                <w:sz w:val="24"/>
              </w:rPr>
            </w:pPr>
            <w:r>
              <w:rPr>
                <w:color w:val="000000"/>
                <w:kern w:val="0"/>
                <w:sz w:val="24"/>
              </w:rPr>
              <w:t>单   位</w:t>
            </w:r>
          </w:p>
        </w:tc>
        <w:tc>
          <w:tcPr>
            <w:tcW w:w="6406" w:type="dxa"/>
            <w:gridSpan w:val="3"/>
            <w:noWrap w:val="0"/>
            <w:vAlign w:val="center"/>
          </w:tcPr>
          <w:p>
            <w:pPr>
              <w:autoSpaceDE w:val="0"/>
              <w:autoSpaceDN w:val="0"/>
              <w:adjustRightInd w:val="0"/>
              <w:spacing w:line="400" w:lineRule="exact"/>
              <w:ind w:firstLine="480" w:firstLineChars="20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353" w:type="dxa"/>
            <w:noWrap w:val="0"/>
            <w:vAlign w:val="center"/>
          </w:tcPr>
          <w:p>
            <w:pPr>
              <w:autoSpaceDE w:val="0"/>
              <w:autoSpaceDN w:val="0"/>
              <w:adjustRightInd w:val="0"/>
              <w:spacing w:line="400" w:lineRule="exact"/>
              <w:ind w:left="-2" w:leftChars="-1"/>
              <w:jc w:val="center"/>
              <w:rPr>
                <w:color w:val="000000"/>
                <w:kern w:val="0"/>
                <w:sz w:val="24"/>
              </w:rPr>
            </w:pPr>
            <w:r>
              <w:rPr>
                <w:color w:val="000000"/>
                <w:kern w:val="0"/>
                <w:sz w:val="24"/>
              </w:rPr>
              <w:t>姓   名</w:t>
            </w:r>
          </w:p>
        </w:tc>
        <w:tc>
          <w:tcPr>
            <w:tcW w:w="2420" w:type="dxa"/>
            <w:noWrap w:val="0"/>
            <w:vAlign w:val="center"/>
          </w:tcPr>
          <w:p>
            <w:pPr>
              <w:autoSpaceDE w:val="0"/>
              <w:autoSpaceDN w:val="0"/>
              <w:adjustRightInd w:val="0"/>
              <w:spacing w:line="400" w:lineRule="exact"/>
              <w:ind w:firstLine="480" w:firstLineChars="200"/>
              <w:jc w:val="center"/>
              <w:rPr>
                <w:color w:val="000000"/>
                <w:kern w:val="0"/>
                <w:sz w:val="24"/>
              </w:rPr>
            </w:pPr>
          </w:p>
        </w:tc>
        <w:tc>
          <w:tcPr>
            <w:tcW w:w="1729" w:type="dxa"/>
            <w:noWrap w:val="0"/>
            <w:vAlign w:val="center"/>
          </w:tcPr>
          <w:p>
            <w:pPr>
              <w:autoSpaceDE w:val="0"/>
              <w:autoSpaceDN w:val="0"/>
              <w:adjustRightInd w:val="0"/>
              <w:spacing w:line="400" w:lineRule="exact"/>
              <w:jc w:val="center"/>
              <w:rPr>
                <w:color w:val="000000"/>
                <w:kern w:val="0"/>
                <w:sz w:val="24"/>
              </w:rPr>
            </w:pPr>
            <w:r>
              <w:rPr>
                <w:color w:val="000000"/>
                <w:kern w:val="0"/>
                <w:sz w:val="24"/>
              </w:rPr>
              <w:t>联系方式</w:t>
            </w:r>
          </w:p>
        </w:tc>
        <w:tc>
          <w:tcPr>
            <w:tcW w:w="2257" w:type="dxa"/>
            <w:noWrap w:val="0"/>
            <w:vAlign w:val="center"/>
          </w:tcPr>
          <w:p>
            <w:pPr>
              <w:autoSpaceDE w:val="0"/>
              <w:autoSpaceDN w:val="0"/>
              <w:adjustRightInd w:val="0"/>
              <w:spacing w:line="400" w:lineRule="exact"/>
              <w:ind w:firstLine="480" w:firstLineChars="20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8759" w:type="dxa"/>
            <w:gridSpan w:val="4"/>
            <w:noWrap w:val="0"/>
            <w:vAlign w:val="center"/>
          </w:tcPr>
          <w:p>
            <w:pPr>
              <w:autoSpaceDE w:val="0"/>
              <w:autoSpaceDN w:val="0"/>
              <w:adjustRightInd w:val="0"/>
              <w:spacing w:line="400" w:lineRule="exact"/>
              <w:ind w:left="-2" w:leftChars="-1"/>
              <w:jc w:val="center"/>
              <w:rPr>
                <w:color w:val="000000"/>
                <w:kern w:val="0"/>
                <w:sz w:val="24"/>
              </w:rPr>
            </w:pPr>
            <w:r>
              <w:rPr>
                <w:color w:val="000000"/>
                <w:kern w:val="0"/>
                <w:sz w:val="24"/>
              </w:rPr>
              <w:t>项目行政监督部门登记人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353" w:type="dxa"/>
            <w:noWrap w:val="0"/>
            <w:vAlign w:val="center"/>
          </w:tcPr>
          <w:p>
            <w:pPr>
              <w:autoSpaceDE w:val="0"/>
              <w:autoSpaceDN w:val="0"/>
              <w:adjustRightInd w:val="0"/>
              <w:spacing w:line="400" w:lineRule="exact"/>
              <w:ind w:left="-2" w:leftChars="-1"/>
              <w:jc w:val="center"/>
              <w:rPr>
                <w:color w:val="000000"/>
                <w:kern w:val="0"/>
                <w:sz w:val="24"/>
              </w:rPr>
            </w:pPr>
            <w:r>
              <w:rPr>
                <w:color w:val="000000"/>
                <w:kern w:val="0"/>
                <w:sz w:val="24"/>
              </w:rPr>
              <w:t>单   位</w:t>
            </w:r>
          </w:p>
        </w:tc>
        <w:tc>
          <w:tcPr>
            <w:tcW w:w="6406" w:type="dxa"/>
            <w:gridSpan w:val="3"/>
            <w:noWrap w:val="0"/>
            <w:vAlign w:val="center"/>
          </w:tcPr>
          <w:p>
            <w:pPr>
              <w:autoSpaceDE w:val="0"/>
              <w:autoSpaceDN w:val="0"/>
              <w:adjustRightInd w:val="0"/>
              <w:spacing w:line="400" w:lineRule="exact"/>
              <w:ind w:firstLine="480" w:firstLineChars="200"/>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353" w:type="dxa"/>
            <w:noWrap w:val="0"/>
            <w:vAlign w:val="center"/>
          </w:tcPr>
          <w:p>
            <w:pPr>
              <w:autoSpaceDE w:val="0"/>
              <w:autoSpaceDN w:val="0"/>
              <w:adjustRightInd w:val="0"/>
              <w:spacing w:line="400" w:lineRule="exact"/>
              <w:jc w:val="center"/>
              <w:rPr>
                <w:color w:val="000000"/>
                <w:kern w:val="0"/>
                <w:sz w:val="24"/>
              </w:rPr>
            </w:pPr>
            <w:r>
              <w:rPr>
                <w:color w:val="000000"/>
                <w:kern w:val="0"/>
                <w:sz w:val="24"/>
              </w:rPr>
              <w:t>姓   名</w:t>
            </w:r>
          </w:p>
        </w:tc>
        <w:tc>
          <w:tcPr>
            <w:tcW w:w="2420" w:type="dxa"/>
            <w:noWrap w:val="0"/>
            <w:vAlign w:val="center"/>
          </w:tcPr>
          <w:p>
            <w:pPr>
              <w:autoSpaceDE w:val="0"/>
              <w:autoSpaceDN w:val="0"/>
              <w:adjustRightInd w:val="0"/>
              <w:spacing w:line="400" w:lineRule="exact"/>
              <w:jc w:val="center"/>
              <w:rPr>
                <w:color w:val="000000"/>
                <w:kern w:val="0"/>
                <w:sz w:val="24"/>
              </w:rPr>
            </w:pPr>
          </w:p>
        </w:tc>
        <w:tc>
          <w:tcPr>
            <w:tcW w:w="1729" w:type="dxa"/>
            <w:noWrap w:val="0"/>
            <w:vAlign w:val="center"/>
          </w:tcPr>
          <w:p>
            <w:pPr>
              <w:autoSpaceDE w:val="0"/>
              <w:autoSpaceDN w:val="0"/>
              <w:adjustRightInd w:val="0"/>
              <w:spacing w:line="400" w:lineRule="exact"/>
              <w:jc w:val="center"/>
              <w:rPr>
                <w:color w:val="000000"/>
                <w:kern w:val="0"/>
                <w:sz w:val="24"/>
              </w:rPr>
            </w:pPr>
            <w:r>
              <w:rPr>
                <w:color w:val="000000"/>
                <w:kern w:val="0"/>
                <w:sz w:val="24"/>
              </w:rPr>
              <w:t>联系方式</w:t>
            </w:r>
          </w:p>
        </w:tc>
        <w:tc>
          <w:tcPr>
            <w:tcW w:w="2257" w:type="dxa"/>
            <w:noWrap w:val="0"/>
            <w:vAlign w:val="center"/>
          </w:tcPr>
          <w:p>
            <w:pPr>
              <w:autoSpaceDE w:val="0"/>
              <w:autoSpaceDN w:val="0"/>
              <w:adjustRightInd w:val="0"/>
              <w:spacing w:line="400" w:lineRule="exact"/>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353" w:type="dxa"/>
            <w:noWrap w:val="0"/>
            <w:vAlign w:val="center"/>
          </w:tcPr>
          <w:p>
            <w:pPr>
              <w:autoSpaceDE w:val="0"/>
              <w:autoSpaceDN w:val="0"/>
              <w:adjustRightInd w:val="0"/>
              <w:spacing w:line="400" w:lineRule="exact"/>
              <w:jc w:val="center"/>
              <w:rPr>
                <w:color w:val="000000"/>
                <w:kern w:val="0"/>
                <w:sz w:val="24"/>
              </w:rPr>
            </w:pPr>
            <w:r>
              <w:rPr>
                <w:color w:val="000000"/>
                <w:kern w:val="0"/>
                <w:sz w:val="24"/>
              </w:rPr>
              <w:t>备   注</w:t>
            </w:r>
          </w:p>
        </w:tc>
        <w:tc>
          <w:tcPr>
            <w:tcW w:w="6406" w:type="dxa"/>
            <w:gridSpan w:val="3"/>
            <w:noWrap w:val="0"/>
            <w:vAlign w:val="center"/>
          </w:tcPr>
          <w:p>
            <w:pPr>
              <w:autoSpaceDE w:val="0"/>
              <w:autoSpaceDN w:val="0"/>
              <w:adjustRightInd w:val="0"/>
              <w:spacing w:line="400" w:lineRule="exact"/>
              <w:jc w:val="center"/>
              <w:rPr>
                <w:color w:val="000000"/>
                <w:kern w:val="0"/>
                <w:sz w:val="24"/>
              </w:rPr>
            </w:pPr>
          </w:p>
        </w:tc>
      </w:tr>
    </w:tbl>
    <w:p>
      <w:pPr>
        <w:spacing w:before="156" w:beforeLines="50" w:line="400" w:lineRule="exact"/>
        <w:ind w:firstLine="480" w:firstLineChars="200"/>
      </w:pPr>
      <w:r>
        <w:rPr>
          <w:color w:val="000000"/>
          <w:kern w:val="0"/>
          <w:sz w:val="24"/>
        </w:rPr>
        <w:t>注：被“打招呼”的评标专家发现有“干扰评标专家评审工作，影响评标结果”等“打招呼”行为的，要主动向招标项目行政监督部门报告，招标项目行政监督部门收到报告后，应当及时填写《评标专家被“打招呼”登记表》，并移送纪检监察部门调查处理</w:t>
      </w:r>
      <w:r>
        <w:rPr>
          <w:rFonts w:hint="eastAsia"/>
          <w:color w:val="000000"/>
          <w:kern w:val="0"/>
          <w:sz w:val="24"/>
        </w:rPr>
        <w:t>。</w:t>
      </w:r>
    </w:p>
    <w:p/>
    <w:p>
      <w:r>
        <w:rPr>
          <w:rFonts w:eastAsia="仿宋_GB2312"/>
          <w:color w:val="000000"/>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15" w:rightChars="150" w:firstLine="280" w:firstLineChars="100"/>
      <w:jc w:val="center"/>
    </w:pP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27</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15" w:rightChars="150" w:firstLine="280" w:firstLineChars="100"/>
      <w:jc w:val="center"/>
    </w:pP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28</w:t>
    </w:r>
    <w:r>
      <w:rPr>
        <w:sz w:val="28"/>
        <w:szCs w:val="28"/>
      </w:rPr>
      <w:fldChar w:fldCharType="end"/>
    </w:r>
    <w:r>
      <w:rPr>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4FEAF6"/>
    <w:multiLevelType w:val="singleLevel"/>
    <w:tmpl w:val="DE4FEAF6"/>
    <w:lvl w:ilvl="0" w:tentative="0">
      <w:start w:val="1"/>
      <w:numFmt w:val="decimal"/>
      <w:suff w:val="nothing"/>
      <w:lvlText w:val="%1、"/>
      <w:lvlJc w:val="left"/>
    </w:lvl>
  </w:abstractNum>
  <w:abstractNum w:abstractNumId="1">
    <w:nsid w:val="F4ED2687"/>
    <w:multiLevelType w:val="singleLevel"/>
    <w:tmpl w:val="F4ED2687"/>
    <w:lvl w:ilvl="0" w:tentative="0">
      <w:start w:val="1"/>
      <w:numFmt w:val="decimal"/>
      <w:suff w:val="nothing"/>
      <w:lvlText w:val="%1、"/>
      <w:lvlJc w:val="left"/>
    </w:lvl>
  </w:abstractNum>
  <w:abstractNum w:abstractNumId="2">
    <w:nsid w:val="FFE6F1B9"/>
    <w:multiLevelType w:val="singleLevel"/>
    <w:tmpl w:val="FFE6F1B9"/>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ZWJhNjE5ZTFlZWQ3NzJjM2JhYjY2MDc0MTk4NWYifQ=="/>
  </w:docVars>
  <w:rsids>
    <w:rsidRoot w:val="070F6899"/>
    <w:rsid w:val="070F6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2022-11-21T08:10:00Z</dcterms:created>
  <dc:creator>朱佳妮</dc:creator>
  <cp:lastModifiedBy>朱佳妮</cp:lastModifiedBy>
  <dcterms:modified xsi:type="dcterms:W3CDTF">2022-11-21T08:10:32Z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56F4404E7A034A24BB151969300AD46E</vt:lpwstr>
  </property>
</Properties>
</file>