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0" w:firstLineChars="0"/>
        <w:jc w:val="center"/>
        <w:rPr>
          <w:rFonts w:ascii="Times New Roman" w:hAnsi="Times New Roman" w:eastAsia="方正小标宋简体" w:cs="Times New Roman"/>
          <w:color w:val="auto"/>
          <w:spacing w:val="-10"/>
          <w:sz w:val="44"/>
          <w:szCs w:val="44"/>
          <w:highlight w:val="none"/>
        </w:rPr>
      </w:pPr>
      <w:r>
        <w:rPr>
          <w:rFonts w:ascii="Times New Roman" w:hAnsi="Times New Roman" w:eastAsia="方正小标宋简体" w:cs="Times New Roman"/>
          <w:color w:val="auto"/>
          <w:spacing w:val="-10"/>
          <w:sz w:val="44"/>
          <w:szCs w:val="44"/>
          <w:highlight w:val="none"/>
        </w:rPr>
        <w:t>湖南省</w:t>
      </w:r>
      <w:r>
        <w:rPr>
          <w:rFonts w:hint="eastAsia" w:ascii="Times New Roman" w:hAnsi="Times New Roman" w:eastAsia="方正小标宋简体" w:cs="Times New Roman"/>
          <w:color w:val="auto"/>
          <w:spacing w:val="-10"/>
          <w:sz w:val="44"/>
          <w:szCs w:val="44"/>
          <w:highlight w:val="none"/>
        </w:rPr>
        <w:t>安化县高坪</w:t>
      </w:r>
      <w:r>
        <w:rPr>
          <w:rFonts w:ascii="Times New Roman" w:hAnsi="Times New Roman" w:eastAsia="方正小标宋简体" w:cs="Times New Roman"/>
          <w:color w:val="auto"/>
          <w:spacing w:val="-10"/>
          <w:sz w:val="44"/>
          <w:szCs w:val="44"/>
          <w:highlight w:val="none"/>
        </w:rPr>
        <w:t>矿区建筑</w:t>
      </w:r>
      <w:r>
        <w:rPr>
          <w:rFonts w:hint="eastAsia" w:ascii="Times New Roman" w:hAnsi="Times New Roman" w:eastAsia="方正小标宋简体" w:cs="Times New Roman"/>
          <w:color w:val="auto"/>
          <w:spacing w:val="-10"/>
          <w:sz w:val="44"/>
          <w:szCs w:val="44"/>
          <w:highlight w:val="none"/>
        </w:rPr>
        <w:t>用砂岩</w:t>
      </w:r>
      <w:r>
        <w:rPr>
          <w:rFonts w:ascii="Times New Roman" w:hAnsi="Times New Roman" w:eastAsia="方正小标宋简体" w:cs="Times New Roman"/>
          <w:color w:val="auto"/>
          <w:spacing w:val="-10"/>
          <w:sz w:val="44"/>
          <w:szCs w:val="44"/>
          <w:highlight w:val="none"/>
        </w:rPr>
        <w:t>矿</w:t>
      </w:r>
    </w:p>
    <w:p>
      <w:pPr>
        <w:snapToGrid w:val="0"/>
        <w:spacing w:line="240" w:lineRule="auto"/>
        <w:ind w:firstLine="0" w:firstLineChars="0"/>
        <w:jc w:val="center"/>
        <w:rPr>
          <w:rFonts w:ascii="Times New Roman" w:hAnsi="Times New Roman" w:eastAsia="方正小标宋简体" w:cs="Times New Roman"/>
          <w:color w:val="auto"/>
          <w:sz w:val="44"/>
          <w:szCs w:val="44"/>
          <w:highlight w:val="none"/>
        </w:rPr>
      </w:pPr>
      <w:r>
        <w:rPr>
          <w:rFonts w:ascii="Times New Roman" w:hAnsi="Times New Roman" w:eastAsia="方正小标宋简体" w:cs="Times New Roman"/>
          <w:color w:val="auto"/>
          <w:sz w:val="44"/>
          <w:szCs w:val="44"/>
          <w:highlight w:val="none"/>
        </w:rPr>
        <w:t>采矿权出让</w:t>
      </w:r>
      <w:bookmarkStart w:id="0" w:name="_GoBack"/>
      <w:bookmarkEnd w:id="0"/>
      <w:r>
        <w:rPr>
          <w:rFonts w:ascii="Times New Roman" w:hAnsi="Times New Roman" w:eastAsia="方正小标宋简体" w:cs="Times New Roman"/>
          <w:color w:val="auto"/>
          <w:sz w:val="44"/>
          <w:szCs w:val="44"/>
          <w:highlight w:val="none"/>
        </w:rPr>
        <w:t>方案</w:t>
      </w:r>
    </w:p>
    <w:p>
      <w:pPr>
        <w:snapToGrid w:val="0"/>
        <w:ind w:firstLine="640"/>
        <w:rPr>
          <w:rFonts w:ascii="Times New Roman" w:hAnsi="Times New Roman" w:eastAsia="黑体" w:cs="Times New Roman"/>
          <w:color w:val="auto"/>
          <w:sz w:val="32"/>
          <w:szCs w:val="32"/>
          <w:highlight w:val="none"/>
        </w:rPr>
      </w:pP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安化县人民政府关于恳求支持设立安化县田庄高坪矿区建筑用砂岩矿等7家采矿权的请示</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安</w:t>
      </w:r>
      <w:r>
        <w:rPr>
          <w:rFonts w:ascii="Times New Roman" w:hAnsi="Times New Roman" w:cs="Times New Roman"/>
          <w:color w:val="auto"/>
          <w:sz w:val="28"/>
          <w:szCs w:val="28"/>
          <w:highlight w:val="none"/>
        </w:rPr>
        <w:t>政〔202</w:t>
      </w:r>
      <w:r>
        <w:rPr>
          <w:rFonts w:hint="eastAsia" w:ascii="Times New Roman" w:hAnsi="Times New Roman" w:cs="Times New Roman"/>
          <w:color w:val="auto"/>
          <w:sz w:val="28"/>
          <w:szCs w:val="28"/>
          <w:highlight w:val="none"/>
        </w:rPr>
        <w:t>1</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122</w:t>
      </w:r>
      <w:r>
        <w:rPr>
          <w:rFonts w:ascii="Times New Roman" w:hAnsi="Times New Roman" w:cs="Times New Roman"/>
          <w:color w:val="auto"/>
          <w:sz w:val="28"/>
          <w:szCs w:val="28"/>
          <w:highlight w:val="none"/>
        </w:rPr>
        <w:t>号），我厅已完成</w:t>
      </w:r>
      <w:r>
        <w:rPr>
          <w:rFonts w:hint="eastAsia" w:ascii="Times New Roman" w:hAnsi="Times New Roman" w:cs="Times New Roman"/>
          <w:color w:val="auto"/>
          <w:sz w:val="28"/>
          <w:szCs w:val="28"/>
          <w:highlight w:val="none"/>
        </w:rPr>
        <w:t>安化县高坪矿区建筑用砂岩</w:t>
      </w:r>
      <w:r>
        <w:rPr>
          <w:rFonts w:ascii="Times New Roman" w:hAnsi="Times New Roman" w:cs="Times New Roman"/>
          <w:color w:val="auto"/>
          <w:sz w:val="28"/>
          <w:szCs w:val="28"/>
          <w:highlight w:val="none"/>
        </w:rPr>
        <w:t>矿拟设采矿权出让前期准备工作，拟启动出让程序，特制订本方案。</w:t>
      </w:r>
    </w:p>
    <w:p>
      <w:pPr>
        <w:adjustRightInd w:val="0"/>
        <w:snapToGrid w:val="0"/>
        <w:spacing w:line="560" w:lineRule="exact"/>
        <w:ind w:firstLine="640"/>
        <w:rPr>
          <w:rFonts w:ascii="Times New Roman" w:hAnsi="Times New Roman" w:cs="Times New Roman"/>
          <w:color w:val="auto"/>
          <w:sz w:val="28"/>
          <w:szCs w:val="28"/>
          <w:highlight w:val="none"/>
        </w:rPr>
      </w:pPr>
      <w:r>
        <w:rPr>
          <w:rFonts w:ascii="Times New Roman" w:hAnsi="Times New Roman" w:eastAsia="黑体" w:cs="Times New Roman"/>
          <w:color w:val="auto"/>
          <w:sz w:val="32"/>
          <w:szCs w:val="32"/>
          <w:highlight w:val="none"/>
        </w:rPr>
        <w:t>一、拟出让采矿权基本情况</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1．划定矿区范围</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根据《&lt;</w:t>
      </w:r>
      <w:r>
        <w:rPr>
          <w:rFonts w:hint="eastAsia" w:ascii="Times New Roman" w:hAnsi="Times New Roman" w:cs="Times New Roman"/>
          <w:color w:val="auto"/>
          <w:sz w:val="28"/>
          <w:szCs w:val="28"/>
          <w:highlight w:val="none"/>
        </w:rPr>
        <w:t>湖南省安化县高坪矿区建筑用砂岩</w:t>
      </w:r>
      <w:r>
        <w:rPr>
          <w:rFonts w:ascii="Times New Roman" w:hAnsi="Times New Roman" w:cs="Times New Roman"/>
          <w:color w:val="auto"/>
          <w:sz w:val="28"/>
          <w:szCs w:val="28"/>
          <w:highlight w:val="none"/>
        </w:rPr>
        <w:t>矿采矿权申请范围核查报告&gt;评审意见书》（湘采矿权核查评字〔202</w:t>
      </w:r>
      <w:r>
        <w:rPr>
          <w:rFonts w:hint="eastAsia" w:ascii="Times New Roman" w:hAnsi="Times New Roman" w:cs="Times New Roman"/>
          <w:color w:val="auto"/>
          <w:sz w:val="28"/>
          <w:szCs w:val="28"/>
          <w:highlight w:val="none"/>
        </w:rPr>
        <w:t>2</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007</w:t>
      </w:r>
      <w:r>
        <w:rPr>
          <w:rFonts w:ascii="Times New Roman" w:hAnsi="Times New Roman" w:cs="Times New Roman"/>
          <w:color w:val="auto"/>
          <w:sz w:val="28"/>
          <w:szCs w:val="28"/>
          <w:highlight w:val="none"/>
        </w:rPr>
        <w:t>号），划定矿区范围由</w:t>
      </w:r>
      <w:r>
        <w:rPr>
          <w:rFonts w:hint="eastAsia" w:ascii="Times New Roman" w:hAnsi="Times New Roman" w:cs="Times New Roman"/>
          <w:color w:val="auto"/>
          <w:sz w:val="28"/>
          <w:szCs w:val="28"/>
          <w:highlight w:val="none"/>
        </w:rPr>
        <w:t>13</w:t>
      </w:r>
      <w:r>
        <w:rPr>
          <w:rFonts w:ascii="Times New Roman" w:hAnsi="Times New Roman" w:cs="Times New Roman"/>
          <w:color w:val="auto"/>
          <w:sz w:val="28"/>
          <w:szCs w:val="28"/>
          <w:highlight w:val="none"/>
        </w:rPr>
        <w:t>个拐点圈闭，拟设采矿权面积0.</w:t>
      </w:r>
      <w:r>
        <w:rPr>
          <w:rFonts w:hint="eastAsia" w:ascii="Times New Roman" w:hAnsi="Times New Roman" w:cs="Times New Roman"/>
          <w:color w:val="auto"/>
          <w:sz w:val="28"/>
          <w:szCs w:val="28"/>
          <w:highlight w:val="none"/>
        </w:rPr>
        <w:t>21</w:t>
      </w:r>
      <w:r>
        <w:rPr>
          <w:rFonts w:ascii="Times New Roman" w:hAnsi="Times New Roman" w:cs="Times New Roman"/>
          <w:color w:val="auto"/>
          <w:sz w:val="28"/>
          <w:szCs w:val="28"/>
          <w:highlight w:val="none"/>
        </w:rPr>
        <w:t>66平方公里，准采标高+</w:t>
      </w:r>
      <w:r>
        <w:rPr>
          <w:rFonts w:hint="eastAsia" w:ascii="Times New Roman" w:hAnsi="Times New Roman" w:cs="Times New Roman"/>
          <w:color w:val="auto"/>
          <w:sz w:val="28"/>
          <w:szCs w:val="28"/>
          <w:highlight w:val="none"/>
        </w:rPr>
        <w:t>344.8</w:t>
      </w:r>
      <w:r>
        <w:rPr>
          <w:rFonts w:ascii="Times New Roman" w:hAnsi="Times New Roman" w:cs="Times New Roman"/>
          <w:color w:val="auto"/>
          <w:sz w:val="28"/>
          <w:szCs w:val="28"/>
          <w:highlight w:val="none"/>
        </w:rPr>
        <w:t>米至+</w:t>
      </w:r>
      <w:r>
        <w:rPr>
          <w:rFonts w:hint="eastAsia" w:ascii="Times New Roman" w:hAnsi="Times New Roman" w:cs="Times New Roman"/>
          <w:color w:val="auto"/>
          <w:sz w:val="28"/>
          <w:szCs w:val="28"/>
          <w:highlight w:val="none"/>
        </w:rPr>
        <w:t>200</w:t>
      </w:r>
      <w:r>
        <w:rPr>
          <w:rFonts w:ascii="Times New Roman" w:hAnsi="Times New Roman" w:cs="Times New Roman"/>
          <w:color w:val="auto"/>
          <w:sz w:val="28"/>
          <w:szCs w:val="28"/>
          <w:highlight w:val="none"/>
        </w:rPr>
        <w:t>米，具体坐标（2000国家大地坐标系，1985国家高程基准）如下：</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475"/>
        <w:gridCol w:w="1595"/>
        <w:gridCol w:w="1218"/>
        <w:gridCol w:w="1475"/>
        <w:gridCol w:w="1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trPr>
        <w:tc>
          <w:tcPr>
            <w:tcW w:w="68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拐点编号</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X</w:t>
            </w:r>
          </w:p>
        </w:tc>
        <w:tc>
          <w:tcPr>
            <w:tcW w:w="93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Y</w:t>
            </w:r>
          </w:p>
        </w:tc>
        <w:tc>
          <w:tcPr>
            <w:tcW w:w="714"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拐点编号</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X</w:t>
            </w:r>
          </w:p>
        </w:tc>
        <w:tc>
          <w:tcPr>
            <w:tcW w:w="939"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2"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1</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3137690.29 </w:t>
            </w:r>
          </w:p>
        </w:tc>
        <w:tc>
          <w:tcPr>
            <w:tcW w:w="93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37528771.94 </w:t>
            </w:r>
          </w:p>
        </w:tc>
        <w:tc>
          <w:tcPr>
            <w:tcW w:w="714"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8</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3137993.04 </w:t>
            </w:r>
          </w:p>
        </w:tc>
        <w:tc>
          <w:tcPr>
            <w:tcW w:w="939"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37529351.67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2"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2</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3137648.89 </w:t>
            </w:r>
          </w:p>
        </w:tc>
        <w:tc>
          <w:tcPr>
            <w:tcW w:w="93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37528776.68 </w:t>
            </w:r>
          </w:p>
        </w:tc>
        <w:tc>
          <w:tcPr>
            <w:tcW w:w="714"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9</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3138174.08 </w:t>
            </w:r>
          </w:p>
        </w:tc>
        <w:tc>
          <w:tcPr>
            <w:tcW w:w="939"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37529336.01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2"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3</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3137615.93 </w:t>
            </w:r>
          </w:p>
        </w:tc>
        <w:tc>
          <w:tcPr>
            <w:tcW w:w="93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37528809.28 </w:t>
            </w:r>
          </w:p>
        </w:tc>
        <w:tc>
          <w:tcPr>
            <w:tcW w:w="714"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10</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3138188.22 </w:t>
            </w:r>
          </w:p>
        </w:tc>
        <w:tc>
          <w:tcPr>
            <w:tcW w:w="939"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37529198.42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2"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4</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3137616.19 </w:t>
            </w:r>
          </w:p>
        </w:tc>
        <w:tc>
          <w:tcPr>
            <w:tcW w:w="93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37528931.21 </w:t>
            </w:r>
          </w:p>
        </w:tc>
        <w:tc>
          <w:tcPr>
            <w:tcW w:w="714"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11</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3138093.35 </w:t>
            </w:r>
          </w:p>
        </w:tc>
        <w:tc>
          <w:tcPr>
            <w:tcW w:w="939"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37529152.41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2"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5</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3137696.45 </w:t>
            </w:r>
          </w:p>
        </w:tc>
        <w:tc>
          <w:tcPr>
            <w:tcW w:w="93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37529205.26 </w:t>
            </w:r>
          </w:p>
        </w:tc>
        <w:tc>
          <w:tcPr>
            <w:tcW w:w="714"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12</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3138015.58 </w:t>
            </w:r>
          </w:p>
        </w:tc>
        <w:tc>
          <w:tcPr>
            <w:tcW w:w="939"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 xml:space="preserve">37528960.56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2"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sz w:val="21"/>
                <w:szCs w:val="21"/>
                <w:highlight w:val="none"/>
              </w:rPr>
            </w:pPr>
            <w:r>
              <w:rPr>
                <w:rFonts w:ascii="Times New Roman" w:hAnsi="Times New Roman"/>
                <w:color w:val="auto"/>
                <w:sz w:val="21"/>
                <w:szCs w:val="21"/>
                <w:highlight w:val="none"/>
              </w:rPr>
              <w:t>6</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sz w:val="21"/>
                <w:szCs w:val="21"/>
                <w:highlight w:val="none"/>
              </w:rPr>
            </w:pPr>
            <w:r>
              <w:rPr>
                <w:rFonts w:ascii="Times New Roman" w:hAnsi="Times New Roman"/>
                <w:color w:val="auto"/>
                <w:sz w:val="21"/>
                <w:szCs w:val="21"/>
                <w:highlight w:val="none"/>
              </w:rPr>
              <w:t xml:space="preserve">3137819.77 </w:t>
            </w:r>
          </w:p>
        </w:tc>
        <w:tc>
          <w:tcPr>
            <w:tcW w:w="93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sz w:val="21"/>
                <w:szCs w:val="21"/>
                <w:highlight w:val="none"/>
              </w:rPr>
            </w:pPr>
            <w:r>
              <w:rPr>
                <w:rFonts w:ascii="Times New Roman" w:hAnsi="Times New Roman"/>
                <w:color w:val="auto"/>
                <w:sz w:val="21"/>
                <w:szCs w:val="21"/>
                <w:highlight w:val="none"/>
              </w:rPr>
              <w:t xml:space="preserve">37529372.91 </w:t>
            </w:r>
          </w:p>
        </w:tc>
        <w:tc>
          <w:tcPr>
            <w:tcW w:w="714"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sz w:val="21"/>
                <w:szCs w:val="21"/>
                <w:highlight w:val="none"/>
              </w:rPr>
            </w:pPr>
            <w:r>
              <w:rPr>
                <w:rFonts w:ascii="Times New Roman" w:hAnsi="Times New Roman"/>
                <w:color w:val="auto"/>
                <w:sz w:val="21"/>
                <w:szCs w:val="21"/>
                <w:highlight w:val="none"/>
              </w:rPr>
              <w:t>13</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sz w:val="21"/>
                <w:szCs w:val="21"/>
                <w:highlight w:val="none"/>
              </w:rPr>
            </w:pPr>
            <w:r>
              <w:rPr>
                <w:rFonts w:ascii="Times New Roman" w:hAnsi="Times New Roman"/>
                <w:color w:val="auto"/>
                <w:sz w:val="21"/>
                <w:szCs w:val="21"/>
                <w:highlight w:val="none"/>
              </w:rPr>
              <w:t xml:space="preserve">3137819.66 </w:t>
            </w:r>
          </w:p>
        </w:tc>
        <w:tc>
          <w:tcPr>
            <w:tcW w:w="939"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sz w:val="21"/>
                <w:szCs w:val="21"/>
                <w:highlight w:val="none"/>
              </w:rPr>
            </w:pPr>
            <w:r>
              <w:rPr>
                <w:rFonts w:ascii="Times New Roman" w:hAnsi="Times New Roman"/>
                <w:color w:val="auto"/>
                <w:sz w:val="21"/>
                <w:szCs w:val="21"/>
                <w:highlight w:val="none"/>
              </w:rPr>
              <w:t xml:space="preserve">37528812.06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2"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sz w:val="21"/>
                <w:szCs w:val="21"/>
                <w:highlight w:val="none"/>
              </w:rPr>
            </w:pPr>
            <w:r>
              <w:rPr>
                <w:rFonts w:ascii="Times New Roman" w:hAnsi="Times New Roman"/>
                <w:color w:val="auto"/>
                <w:sz w:val="21"/>
                <w:szCs w:val="21"/>
                <w:highlight w:val="none"/>
              </w:rPr>
              <w:t>7</w:t>
            </w: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sz w:val="21"/>
                <w:szCs w:val="21"/>
                <w:highlight w:val="none"/>
              </w:rPr>
            </w:pPr>
            <w:r>
              <w:rPr>
                <w:rFonts w:ascii="Times New Roman" w:hAnsi="Times New Roman"/>
                <w:color w:val="auto"/>
                <w:sz w:val="21"/>
                <w:szCs w:val="21"/>
                <w:highlight w:val="none"/>
              </w:rPr>
              <w:t xml:space="preserve">3137921.37 </w:t>
            </w:r>
          </w:p>
        </w:tc>
        <w:tc>
          <w:tcPr>
            <w:tcW w:w="93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sz w:val="21"/>
                <w:szCs w:val="21"/>
                <w:highlight w:val="none"/>
              </w:rPr>
            </w:pPr>
            <w:r>
              <w:rPr>
                <w:rFonts w:ascii="Times New Roman" w:hAnsi="Times New Roman"/>
                <w:color w:val="auto"/>
                <w:sz w:val="21"/>
                <w:szCs w:val="21"/>
                <w:highlight w:val="none"/>
              </w:rPr>
              <w:t xml:space="preserve">37529388.54 </w:t>
            </w:r>
          </w:p>
        </w:tc>
        <w:tc>
          <w:tcPr>
            <w:tcW w:w="714"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sz w:val="21"/>
                <w:szCs w:val="21"/>
                <w:highlight w:val="none"/>
              </w:rPr>
            </w:pPr>
          </w:p>
        </w:tc>
        <w:tc>
          <w:tcPr>
            <w:tcW w:w="865"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sz w:val="21"/>
                <w:szCs w:val="21"/>
                <w:highlight w:val="none"/>
              </w:rPr>
            </w:pPr>
          </w:p>
        </w:tc>
        <w:tc>
          <w:tcPr>
            <w:tcW w:w="939" w:type="pct"/>
            <w:tcBorders>
              <w:top w:val="single" w:color="auto" w:sz="4" w:space="0"/>
              <w:left w:val="single" w:color="auto" w:sz="4" w:space="0"/>
              <w:bottom w:val="single" w:color="auto" w:sz="4" w:space="0"/>
              <w:right w:val="single" w:color="auto" w:sz="4" w:space="0"/>
            </w:tcBorders>
            <w:noWrap w:val="0"/>
            <w:vAlign w:val="center"/>
          </w:tcPr>
          <w:p>
            <w:pPr>
              <w:pStyle w:val="3"/>
              <w:ind w:left="420" w:hanging="420"/>
              <w:jc w:val="center"/>
              <w:rPr>
                <w:rFonts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000" w:type="pct"/>
            <w:gridSpan w:val="6"/>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kern w:val="0"/>
                <w:highlight w:val="none"/>
              </w:rPr>
              <w:t>准采标高：+344.8m～+200.0m                矿区面积：0.</w:t>
            </w:r>
            <w:r>
              <w:rPr>
                <w:rFonts w:hint="eastAsia" w:ascii="Times New Roman" w:hAnsi="Times New Roman" w:cs="Times New Roman"/>
                <w:color w:val="auto"/>
                <w:kern w:val="0"/>
                <w:highlight w:val="none"/>
              </w:rPr>
              <w:t>21</w:t>
            </w:r>
            <w:r>
              <w:rPr>
                <w:rFonts w:ascii="Times New Roman" w:hAnsi="Times New Roman" w:cs="Times New Roman"/>
                <w:color w:val="auto"/>
                <w:kern w:val="0"/>
                <w:highlight w:val="none"/>
              </w:rPr>
              <w:t>66km²</w:t>
            </w:r>
          </w:p>
        </w:tc>
      </w:tr>
    </w:tbl>
    <w:p>
      <w:pPr>
        <w:adjustRightInd w:val="0"/>
        <w:snapToGrid w:val="0"/>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经划定矿区范围与开采规划区块范围比对，拟设矿权符合</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安化县</w:t>
      </w:r>
      <w:r>
        <w:rPr>
          <w:rFonts w:ascii="Times New Roman" w:hAnsi="Times New Roman" w:cs="Times New Roman"/>
          <w:color w:val="auto"/>
          <w:sz w:val="28"/>
          <w:szCs w:val="28"/>
          <w:highlight w:val="none"/>
        </w:rPr>
        <w:t>普通建筑材料用砂石土矿专项规划（2019-2025年）》，设置类型为</w:t>
      </w:r>
      <w:r>
        <w:rPr>
          <w:rFonts w:hint="eastAsia" w:ascii="Times New Roman" w:hAnsi="Times New Roman" w:cs="Times New Roman"/>
          <w:color w:val="auto"/>
          <w:sz w:val="28"/>
          <w:szCs w:val="28"/>
          <w:highlight w:val="none"/>
        </w:rPr>
        <w:t>空白区新设</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2．资源储量</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根据《湖南省自然资源厅关于&lt;湖南省</w:t>
      </w:r>
      <w:r>
        <w:rPr>
          <w:rFonts w:hint="eastAsia" w:ascii="Times New Roman" w:hAnsi="Times New Roman" w:cs="Times New Roman"/>
          <w:color w:val="auto"/>
          <w:sz w:val="28"/>
          <w:szCs w:val="28"/>
          <w:highlight w:val="none"/>
        </w:rPr>
        <w:t>安化县田庄乡高坪矿区建筑用砂岩</w:t>
      </w:r>
      <w:r>
        <w:rPr>
          <w:rFonts w:ascii="Times New Roman" w:hAnsi="Times New Roman" w:cs="Times New Roman"/>
          <w:color w:val="auto"/>
          <w:sz w:val="28"/>
          <w:szCs w:val="28"/>
          <w:highlight w:val="none"/>
        </w:rPr>
        <w:t>矿勘查报告&gt;矿产资源储量评审备案证明》（湘自资储备字〔2022〕0</w:t>
      </w:r>
      <w:r>
        <w:rPr>
          <w:rFonts w:hint="eastAsia" w:ascii="Times New Roman" w:hAnsi="Times New Roman" w:cs="Times New Roman"/>
          <w:color w:val="auto"/>
          <w:sz w:val="28"/>
          <w:szCs w:val="28"/>
          <w:highlight w:val="none"/>
        </w:rPr>
        <w:t>2</w:t>
      </w:r>
      <w:r>
        <w:rPr>
          <w:rFonts w:ascii="Times New Roman" w:hAnsi="Times New Roman" w:cs="Times New Roman"/>
          <w:color w:val="auto"/>
          <w:sz w:val="28"/>
          <w:szCs w:val="28"/>
          <w:highlight w:val="none"/>
        </w:rPr>
        <w:t>2号），拟设采矿权范围内</w:t>
      </w:r>
      <w:r>
        <w:rPr>
          <w:rFonts w:hint="eastAsia" w:ascii="Times New Roman" w:hAnsi="Times New Roman" w:cs="Times New Roman"/>
          <w:color w:val="auto"/>
          <w:sz w:val="28"/>
          <w:szCs w:val="28"/>
          <w:highlight w:val="none"/>
        </w:rPr>
        <w:t>保有资源量</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建筑用砂岩</w:t>
      </w:r>
      <w:r>
        <w:rPr>
          <w:rFonts w:ascii="Times New Roman" w:hAnsi="Times New Roman" w:cs="Times New Roman"/>
          <w:color w:val="auto"/>
          <w:sz w:val="28"/>
          <w:szCs w:val="28"/>
          <w:highlight w:val="none"/>
        </w:rPr>
        <w:t>矿控制资源量2603.4万吨</w:t>
      </w:r>
      <w:r>
        <w:rPr>
          <w:rFonts w:hint="eastAsia" w:ascii="Times New Roman" w:hAnsi="Times New Roman" w:cs="Times New Roman"/>
          <w:color w:val="auto"/>
          <w:sz w:val="28"/>
          <w:szCs w:val="28"/>
          <w:highlight w:val="none"/>
        </w:rPr>
        <w:t>；砖瓦用粘土矿</w:t>
      </w:r>
      <w:r>
        <w:rPr>
          <w:rFonts w:ascii="Times New Roman" w:hAnsi="Times New Roman" w:cs="Times New Roman"/>
          <w:color w:val="auto"/>
          <w:sz w:val="28"/>
          <w:szCs w:val="28"/>
          <w:highlight w:val="none"/>
        </w:rPr>
        <w:t>控制资源量334.4</w:t>
      </w:r>
      <w:r>
        <w:rPr>
          <w:rFonts w:hint="eastAsia" w:ascii="Times New Roman" w:hAnsi="Times New Roman" w:cs="Times New Roman"/>
          <w:color w:val="auto"/>
          <w:sz w:val="28"/>
          <w:szCs w:val="28"/>
          <w:highlight w:val="none"/>
        </w:rPr>
        <w:t>万吨</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3．开发利用方案</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根据《&lt;湖南省</w:t>
      </w:r>
      <w:r>
        <w:rPr>
          <w:rFonts w:hint="eastAsia" w:ascii="Times New Roman" w:hAnsi="Times New Roman" w:cs="Times New Roman"/>
          <w:color w:val="auto"/>
          <w:sz w:val="28"/>
          <w:szCs w:val="28"/>
          <w:highlight w:val="none"/>
        </w:rPr>
        <w:t>安化县高坪矿区建筑用砂岩</w:t>
      </w:r>
      <w:r>
        <w:rPr>
          <w:rFonts w:ascii="Times New Roman" w:hAnsi="Times New Roman" w:cs="Times New Roman"/>
          <w:color w:val="auto"/>
          <w:sz w:val="28"/>
          <w:szCs w:val="28"/>
          <w:highlight w:val="none"/>
        </w:rPr>
        <w:t>矿资源开发利用方案&gt;评审意见书》（湘矿开发评字〔2022〕022号），拟设采矿权设计露天开采，可采储量</w:t>
      </w:r>
      <w:r>
        <w:rPr>
          <w:rFonts w:hint="eastAsia" w:ascii="Times New Roman" w:hAnsi="Times New Roman" w:cs="Times New Roman"/>
          <w:color w:val="auto"/>
          <w:sz w:val="28"/>
          <w:szCs w:val="28"/>
          <w:highlight w:val="none"/>
        </w:rPr>
        <w:t>：建筑用砂岩矿</w:t>
      </w:r>
      <w:r>
        <w:rPr>
          <w:rFonts w:ascii="Times New Roman" w:hAnsi="Times New Roman" w:cs="Times New Roman"/>
          <w:color w:val="auto"/>
          <w:sz w:val="28"/>
          <w:szCs w:val="28"/>
          <w:highlight w:val="none"/>
        </w:rPr>
        <w:t>2551.3</w:t>
      </w:r>
      <w:r>
        <w:rPr>
          <w:rFonts w:hint="eastAsia" w:ascii="Times New Roman" w:hAnsi="Times New Roman" w:cs="Times New Roman"/>
          <w:color w:val="auto"/>
          <w:sz w:val="28"/>
          <w:szCs w:val="28"/>
          <w:highlight w:val="none"/>
        </w:rPr>
        <w:t>万吨、砖瓦用粘土矿</w:t>
      </w:r>
      <w:r>
        <w:rPr>
          <w:rFonts w:ascii="Times New Roman" w:hAnsi="Times New Roman" w:cs="Times New Roman"/>
          <w:color w:val="auto"/>
          <w:sz w:val="28"/>
          <w:szCs w:val="28"/>
          <w:highlight w:val="none"/>
        </w:rPr>
        <w:t>327.7</w:t>
      </w:r>
      <w:r>
        <w:rPr>
          <w:rFonts w:hint="eastAsia" w:ascii="Times New Roman" w:hAnsi="Times New Roman" w:cs="Times New Roman"/>
          <w:color w:val="auto"/>
          <w:sz w:val="28"/>
          <w:szCs w:val="28"/>
          <w:highlight w:val="none"/>
        </w:rPr>
        <w:t>万吨</w:t>
      </w:r>
      <w:r>
        <w:rPr>
          <w:rFonts w:ascii="Times New Roman" w:hAnsi="Times New Roman" w:cs="Times New Roman"/>
          <w:color w:val="auto"/>
          <w:sz w:val="28"/>
          <w:szCs w:val="28"/>
          <w:highlight w:val="none"/>
        </w:rPr>
        <w:t>。设计生产规模</w:t>
      </w:r>
      <w:r>
        <w:rPr>
          <w:rFonts w:hint="eastAsia" w:ascii="Times New Roman" w:hAnsi="Times New Roman" w:cs="Times New Roman"/>
          <w:color w:val="auto"/>
          <w:sz w:val="28"/>
          <w:szCs w:val="28"/>
          <w:highlight w:val="none"/>
        </w:rPr>
        <w:t>2</w:t>
      </w:r>
      <w:r>
        <w:rPr>
          <w:rFonts w:ascii="Times New Roman" w:hAnsi="Times New Roman" w:cs="Times New Roman"/>
          <w:color w:val="auto"/>
          <w:sz w:val="28"/>
          <w:szCs w:val="28"/>
          <w:highlight w:val="none"/>
        </w:rPr>
        <w:t>00万吨/年</w:t>
      </w:r>
      <w:r>
        <w:rPr>
          <w:rFonts w:hint="eastAsia" w:ascii="Times New Roman" w:hAnsi="Times New Roman" w:cs="Times New Roman"/>
          <w:color w:val="auto"/>
          <w:sz w:val="28"/>
          <w:szCs w:val="28"/>
          <w:highlight w:val="none"/>
        </w:rPr>
        <w:t>（其中建筑用砂岩矿1</w:t>
      </w:r>
      <w:r>
        <w:rPr>
          <w:rFonts w:ascii="Times New Roman" w:hAnsi="Times New Roman" w:cs="Times New Roman"/>
          <w:color w:val="auto"/>
          <w:sz w:val="28"/>
          <w:szCs w:val="28"/>
          <w:highlight w:val="none"/>
        </w:rPr>
        <w:t>75</w:t>
      </w:r>
      <w:r>
        <w:rPr>
          <w:rFonts w:hint="eastAsia" w:ascii="Times New Roman" w:hAnsi="Times New Roman" w:cs="Times New Roman"/>
          <w:color w:val="auto"/>
          <w:sz w:val="28"/>
          <w:szCs w:val="28"/>
          <w:highlight w:val="none"/>
        </w:rPr>
        <w:t>万吨/年、砖瓦用粘土矿2</w:t>
      </w:r>
      <w:r>
        <w:rPr>
          <w:rFonts w:ascii="Times New Roman" w:hAnsi="Times New Roman" w:cs="Times New Roman"/>
          <w:color w:val="auto"/>
          <w:sz w:val="28"/>
          <w:szCs w:val="28"/>
          <w:highlight w:val="none"/>
        </w:rPr>
        <w:t>5</w:t>
      </w:r>
      <w:r>
        <w:rPr>
          <w:rFonts w:hint="eastAsia" w:ascii="Times New Roman" w:hAnsi="Times New Roman" w:cs="Times New Roman"/>
          <w:color w:val="auto"/>
          <w:sz w:val="28"/>
          <w:szCs w:val="28"/>
          <w:highlight w:val="none"/>
        </w:rPr>
        <w:t>万吨/年）</w:t>
      </w:r>
      <w:r>
        <w:rPr>
          <w:rFonts w:ascii="Times New Roman" w:hAnsi="Times New Roman" w:cs="Times New Roman"/>
          <w:color w:val="auto"/>
          <w:sz w:val="28"/>
          <w:szCs w:val="28"/>
          <w:highlight w:val="none"/>
        </w:rPr>
        <w:t>，服务年限为14.6年。</w:t>
      </w:r>
      <w:r>
        <w:rPr>
          <w:rFonts w:hint="eastAsia" w:ascii="Times New Roman" w:hAnsi="Times New Roman" w:cs="Times New Roman"/>
          <w:color w:val="auto"/>
          <w:sz w:val="28"/>
          <w:szCs w:val="28"/>
          <w:highlight w:val="none"/>
        </w:rPr>
        <w:t>建筑用砂岩矿</w:t>
      </w:r>
      <w:r>
        <w:rPr>
          <w:rFonts w:ascii="Times New Roman" w:hAnsi="Times New Roman" w:cs="Times New Roman"/>
          <w:color w:val="auto"/>
          <w:sz w:val="28"/>
          <w:szCs w:val="28"/>
          <w:highlight w:val="none"/>
        </w:rPr>
        <w:t>产品方案为不同粒径的</w:t>
      </w:r>
      <w:r>
        <w:rPr>
          <w:rFonts w:hint="eastAsia" w:ascii="Times New Roman" w:hAnsi="Times New Roman" w:cs="Times New Roman"/>
          <w:color w:val="auto"/>
          <w:sz w:val="28"/>
          <w:szCs w:val="28"/>
          <w:highlight w:val="none"/>
        </w:rPr>
        <w:t>碎石骨料、机制砂、石粉</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砖瓦用粘土矿</w:t>
      </w:r>
      <w:r>
        <w:rPr>
          <w:rFonts w:ascii="Times New Roman" w:hAnsi="Times New Roman" w:cs="Times New Roman"/>
          <w:color w:val="auto"/>
          <w:sz w:val="28"/>
          <w:szCs w:val="28"/>
          <w:highlight w:val="none"/>
        </w:rPr>
        <w:t>产品方案为</w:t>
      </w:r>
      <w:r>
        <w:rPr>
          <w:rFonts w:hint="eastAsia" w:ascii="Times New Roman" w:hAnsi="Times New Roman" w:cs="Times New Roman"/>
          <w:color w:val="auto"/>
          <w:sz w:val="28"/>
          <w:szCs w:val="28"/>
          <w:highlight w:val="none"/>
        </w:rPr>
        <w:t>原矿石</w:t>
      </w:r>
      <w:r>
        <w:rPr>
          <w:rFonts w:ascii="Times New Roman" w:hAnsi="Times New Roman" w:cs="Times New Roman"/>
          <w:color w:val="auto"/>
          <w:sz w:val="28"/>
          <w:szCs w:val="28"/>
          <w:highlight w:val="none"/>
        </w:rPr>
        <w:t>，设计采矿回采率98%。</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4．出让收益评估</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根据《&lt;湖南省</w:t>
      </w:r>
      <w:r>
        <w:rPr>
          <w:rFonts w:hint="eastAsia" w:ascii="Times New Roman" w:hAnsi="Times New Roman" w:cs="Times New Roman"/>
          <w:color w:val="auto"/>
          <w:sz w:val="28"/>
          <w:szCs w:val="28"/>
          <w:highlight w:val="none"/>
        </w:rPr>
        <w:t>安化县高坪矿区建筑用砂岩</w:t>
      </w:r>
      <w:r>
        <w:rPr>
          <w:rFonts w:ascii="Times New Roman" w:hAnsi="Times New Roman" w:cs="Times New Roman"/>
          <w:color w:val="auto"/>
          <w:sz w:val="28"/>
          <w:szCs w:val="28"/>
          <w:highlight w:val="none"/>
        </w:rPr>
        <w:t>矿采矿权出让收益评估报告&gt;审查意见书》（湘矿权评估审字〔2022〕030号，评估基准日为2022年4月30日，汇交告知日期为2022年7月1日），确定出让收益为9125.87万元，其中</w:t>
      </w:r>
      <w:r>
        <w:rPr>
          <w:rFonts w:hint="eastAsia" w:ascii="Times New Roman" w:hAnsi="Times New Roman" w:cs="Times New Roman"/>
          <w:color w:val="auto"/>
          <w:sz w:val="28"/>
          <w:szCs w:val="28"/>
          <w:highlight w:val="none"/>
        </w:rPr>
        <w:t>建筑用砂岩</w:t>
      </w:r>
      <w:r>
        <w:rPr>
          <w:rFonts w:ascii="Times New Roman" w:hAnsi="Times New Roman" w:cs="Times New Roman"/>
          <w:color w:val="auto"/>
          <w:sz w:val="28"/>
          <w:szCs w:val="28"/>
          <w:highlight w:val="none"/>
        </w:rPr>
        <w:t>矿出让收益评估</w:t>
      </w:r>
      <w:r>
        <w:rPr>
          <w:rFonts w:hint="eastAsia" w:ascii="Times New Roman" w:hAnsi="Times New Roman" w:cs="Times New Roman"/>
          <w:color w:val="auto"/>
          <w:sz w:val="28"/>
          <w:szCs w:val="28"/>
          <w:highlight w:val="none"/>
        </w:rPr>
        <w:t>值</w:t>
      </w:r>
      <w:r>
        <w:rPr>
          <w:rFonts w:ascii="Times New Roman" w:hAnsi="Times New Roman" w:cs="Times New Roman"/>
          <w:color w:val="auto"/>
          <w:sz w:val="28"/>
          <w:szCs w:val="28"/>
          <w:highlight w:val="none"/>
        </w:rPr>
        <w:t>8135.50万元</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可采储量单价3.19元/吨·矿石</w:t>
      </w:r>
      <w:r>
        <w:rPr>
          <w:rFonts w:hint="eastAsia" w:ascii="Times New Roman" w:hAnsi="Times New Roman" w:cs="Times New Roman"/>
          <w:color w:val="auto"/>
          <w:sz w:val="28"/>
          <w:szCs w:val="28"/>
          <w:highlight w:val="none"/>
        </w:rPr>
        <w:t>；砖瓦用粘土矿</w:t>
      </w:r>
      <w:r>
        <w:rPr>
          <w:rFonts w:ascii="Times New Roman" w:hAnsi="Times New Roman" w:cs="Times New Roman"/>
          <w:color w:val="auto"/>
          <w:sz w:val="28"/>
          <w:szCs w:val="28"/>
          <w:highlight w:val="none"/>
        </w:rPr>
        <w:t>出让收益评估</w:t>
      </w:r>
      <w:r>
        <w:rPr>
          <w:rFonts w:hint="eastAsia" w:ascii="Times New Roman" w:hAnsi="Times New Roman" w:cs="Times New Roman"/>
          <w:color w:val="auto"/>
          <w:sz w:val="28"/>
          <w:szCs w:val="28"/>
          <w:highlight w:val="none"/>
        </w:rPr>
        <w:t>值</w:t>
      </w:r>
      <w:r>
        <w:rPr>
          <w:rFonts w:ascii="Times New Roman" w:hAnsi="Times New Roman" w:cs="Times New Roman"/>
          <w:color w:val="auto"/>
          <w:sz w:val="28"/>
          <w:szCs w:val="28"/>
          <w:highlight w:val="none"/>
        </w:rPr>
        <w:t>990.37万元</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可采储量单价3.02元/吨·矿石。</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评估可采储量单价高于《湖南省自然资源厅关于发布湖南省矿业权出让收益市场基准价（2021年版）的通知》（湘自然</w:t>
      </w:r>
      <w:r>
        <w:rPr>
          <w:rFonts w:hint="eastAsia" w:ascii="Times New Roman" w:hAnsi="Times New Roman" w:cs="Times New Roman"/>
          <w:color w:val="auto"/>
          <w:sz w:val="28"/>
          <w:szCs w:val="28"/>
          <w:highlight w:val="none"/>
        </w:rPr>
        <w:t>资</w:t>
      </w:r>
      <w:r>
        <w:rPr>
          <w:rFonts w:ascii="Times New Roman" w:hAnsi="Times New Roman" w:cs="Times New Roman"/>
          <w:color w:val="auto"/>
          <w:sz w:val="28"/>
          <w:szCs w:val="28"/>
          <w:highlight w:val="none"/>
        </w:rPr>
        <w:t>规〔2021〕3号）中</w:t>
      </w:r>
      <w:r>
        <w:rPr>
          <w:rFonts w:hint="eastAsia" w:ascii="Times New Roman" w:hAnsi="Times New Roman" w:cs="Times New Roman"/>
          <w:color w:val="auto"/>
          <w:sz w:val="28"/>
          <w:szCs w:val="28"/>
          <w:highlight w:val="none"/>
        </w:rPr>
        <w:t>益阳</w:t>
      </w:r>
      <w:r>
        <w:rPr>
          <w:rFonts w:ascii="Times New Roman" w:hAnsi="Times New Roman" w:cs="Times New Roman"/>
          <w:color w:val="auto"/>
          <w:sz w:val="28"/>
          <w:szCs w:val="28"/>
          <w:highlight w:val="none"/>
        </w:rPr>
        <w:t>地区可采储量基准价：建筑用</w:t>
      </w:r>
      <w:r>
        <w:rPr>
          <w:rFonts w:hint="eastAsia" w:ascii="Times New Roman" w:hAnsi="Times New Roman" w:cs="Times New Roman"/>
          <w:color w:val="auto"/>
          <w:sz w:val="28"/>
          <w:szCs w:val="28"/>
          <w:highlight w:val="none"/>
        </w:rPr>
        <w:t>砂</w:t>
      </w:r>
      <w:r>
        <w:rPr>
          <w:rFonts w:ascii="Times New Roman" w:hAnsi="Times New Roman" w:cs="Times New Roman"/>
          <w:color w:val="auto"/>
          <w:sz w:val="28"/>
          <w:szCs w:val="28"/>
          <w:highlight w:val="none"/>
        </w:rPr>
        <w:t>岩矿3.0元/吨·矿石、</w:t>
      </w:r>
      <w:r>
        <w:rPr>
          <w:rFonts w:hint="eastAsia" w:ascii="Times New Roman" w:hAnsi="Times New Roman" w:cs="Times New Roman"/>
          <w:color w:val="auto"/>
          <w:sz w:val="28"/>
          <w:szCs w:val="28"/>
          <w:highlight w:val="none"/>
        </w:rPr>
        <w:t>砖瓦用粘土</w:t>
      </w:r>
      <w:r>
        <w:rPr>
          <w:rFonts w:ascii="Times New Roman" w:hAnsi="Times New Roman" w:cs="Times New Roman"/>
          <w:color w:val="auto"/>
          <w:sz w:val="28"/>
          <w:szCs w:val="28"/>
          <w:highlight w:val="none"/>
        </w:rPr>
        <w:t>矿3.0元/吨·矿石。</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5．土地使用</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根</w:t>
      </w:r>
      <w:r>
        <w:rPr>
          <w:rFonts w:ascii="Times New Roman" w:hAnsi="Times New Roman" w:cs="Times New Roman"/>
          <w:color w:val="auto"/>
          <w:sz w:val="28"/>
          <w:szCs w:val="28"/>
          <w:highlight w:val="none"/>
        </w:rPr>
        <w:t>据《</w:t>
      </w:r>
      <w:r>
        <w:rPr>
          <w:rFonts w:hint="eastAsia" w:ascii="Times New Roman" w:hAnsi="Times New Roman" w:cs="Times New Roman"/>
          <w:color w:val="auto"/>
          <w:sz w:val="28"/>
          <w:szCs w:val="28"/>
          <w:highlight w:val="none"/>
        </w:rPr>
        <w:t>安化县人民政府关于湖南省安化县高坪矿区建筑用砂岩矿土地使用方案的审查意见</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（安政</w:t>
      </w:r>
      <w:r>
        <w:rPr>
          <w:rFonts w:ascii="Times New Roman" w:hAnsi="Times New Roman" w:cs="Times New Roman"/>
          <w:color w:val="auto"/>
          <w:sz w:val="28"/>
          <w:szCs w:val="28"/>
          <w:highlight w:val="none"/>
        </w:rPr>
        <w:t>函〔2022〕98号</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，矿山为露天开采，项目总用地30.4649公顷（0.304649km</w:t>
      </w:r>
      <w:r>
        <w:rPr>
          <w:rFonts w:ascii="Times New Roman" w:hAnsi="Times New Roman" w:cs="Times New Roman"/>
          <w:color w:val="auto"/>
          <w:sz w:val="28"/>
          <w:szCs w:val="28"/>
          <w:highlight w:val="none"/>
          <w:vertAlign w:val="superscript"/>
        </w:rPr>
        <w:t>2</w:t>
      </w:r>
      <w:r>
        <w:rPr>
          <w:rFonts w:ascii="Times New Roman" w:hAnsi="Times New Roman" w:cs="Times New Roman"/>
          <w:color w:val="auto"/>
          <w:sz w:val="28"/>
          <w:szCs w:val="28"/>
          <w:highlight w:val="none"/>
        </w:rPr>
        <w:t>，含拟设采矿权范围）。占用地类为</w:t>
      </w:r>
      <w:r>
        <w:rPr>
          <w:rFonts w:hint="eastAsia" w:ascii="Times New Roman" w:hAnsi="Times New Roman" w:cs="Times New Roman"/>
          <w:color w:val="auto"/>
          <w:sz w:val="28"/>
          <w:szCs w:val="28"/>
          <w:highlight w:val="none"/>
        </w:rPr>
        <w:t>采矿用地、乔木林地、竹林地、沟渠、茶园、水田、河流水面等，其中占用耕地面积0</w:t>
      </w:r>
      <w:r>
        <w:rPr>
          <w:rFonts w:ascii="Times New Roman" w:hAnsi="Times New Roman" w:cs="Times New Roman"/>
          <w:color w:val="auto"/>
          <w:sz w:val="28"/>
          <w:szCs w:val="28"/>
          <w:highlight w:val="none"/>
        </w:rPr>
        <w:t>.1350</w:t>
      </w:r>
      <w:r>
        <w:rPr>
          <w:rFonts w:hint="eastAsia" w:ascii="Times New Roman" w:hAnsi="Times New Roman" w:cs="Times New Roman"/>
          <w:color w:val="auto"/>
          <w:sz w:val="28"/>
          <w:szCs w:val="28"/>
          <w:highlight w:val="none"/>
        </w:rPr>
        <w:t>公顷，均为水田，未占用永久基本农田</w:t>
      </w:r>
      <w:r>
        <w:rPr>
          <w:rFonts w:ascii="Times New Roman" w:hAnsi="Times New Roman" w:cs="Times New Roman"/>
          <w:color w:val="auto"/>
          <w:sz w:val="28"/>
          <w:szCs w:val="28"/>
          <w:highlight w:val="none"/>
        </w:rPr>
        <w:t>。</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露天采场土地租赁</w:t>
      </w:r>
      <w:r>
        <w:rPr>
          <w:rFonts w:ascii="Times New Roman" w:hAnsi="Times New Roman" w:cs="Times New Roman"/>
          <w:color w:val="auto"/>
          <w:sz w:val="28"/>
          <w:szCs w:val="28"/>
          <w:highlight w:val="none"/>
        </w:rPr>
        <w:t>后</w:t>
      </w:r>
      <w:r>
        <w:rPr>
          <w:rFonts w:hint="eastAsia" w:ascii="Times New Roman" w:hAnsi="Times New Roman" w:cs="Times New Roman"/>
          <w:color w:val="auto"/>
          <w:sz w:val="28"/>
          <w:szCs w:val="28"/>
          <w:highlight w:val="none"/>
        </w:rPr>
        <w:t>办理集体建设用地手续；工业广场、生活办公区、运矿道路征收后出让供给；排土场、沉淀池、排水沟租赁后办理临时用地手续</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6．环境影响评估</w:t>
      </w:r>
    </w:p>
    <w:p>
      <w:pPr>
        <w:pStyle w:val="2"/>
        <w:spacing w:after="0" w:line="560" w:lineRule="exact"/>
        <w:ind w:firstLine="560"/>
        <w:rPr>
          <w:rFonts w:ascii="Times New Roman" w:hAnsi="Times New Roman"/>
          <w:color w:val="auto"/>
          <w:sz w:val="28"/>
          <w:szCs w:val="28"/>
          <w:highlight w:val="none"/>
        </w:rPr>
      </w:pPr>
      <w:r>
        <w:rPr>
          <w:rFonts w:hint="eastAsia" w:ascii="Times New Roman" w:hAnsi="Times New Roman"/>
          <w:color w:val="auto"/>
          <w:sz w:val="28"/>
          <w:szCs w:val="28"/>
          <w:highlight w:val="none"/>
        </w:rPr>
        <w:t>益阳市</w:t>
      </w:r>
      <w:r>
        <w:rPr>
          <w:rFonts w:ascii="Times New Roman" w:hAnsi="Times New Roman"/>
          <w:color w:val="auto"/>
          <w:sz w:val="28"/>
          <w:szCs w:val="28"/>
          <w:highlight w:val="none"/>
        </w:rPr>
        <w:t>生态环境局</w:t>
      </w:r>
      <w:r>
        <w:rPr>
          <w:rFonts w:hint="eastAsia" w:ascii="Times New Roman" w:hAnsi="Times New Roman"/>
          <w:color w:val="auto"/>
          <w:sz w:val="28"/>
          <w:szCs w:val="28"/>
          <w:highlight w:val="none"/>
        </w:rPr>
        <w:t>安化</w:t>
      </w:r>
      <w:r>
        <w:rPr>
          <w:rFonts w:ascii="Times New Roman" w:hAnsi="Times New Roman"/>
          <w:color w:val="auto"/>
          <w:sz w:val="28"/>
          <w:szCs w:val="28"/>
          <w:highlight w:val="none"/>
        </w:rPr>
        <w:t>分局</w:t>
      </w:r>
      <w:r>
        <w:rPr>
          <w:rFonts w:hint="eastAsia" w:ascii="Times New Roman" w:hAnsi="Times New Roman"/>
          <w:color w:val="auto"/>
          <w:sz w:val="28"/>
          <w:szCs w:val="28"/>
          <w:highlight w:val="none"/>
        </w:rPr>
        <w:t>原则</w:t>
      </w:r>
      <w:r>
        <w:rPr>
          <w:rFonts w:ascii="Times New Roman" w:hAnsi="Times New Roman"/>
          <w:color w:val="auto"/>
          <w:sz w:val="28"/>
          <w:szCs w:val="28"/>
          <w:highlight w:val="none"/>
        </w:rPr>
        <w:t>同意</w:t>
      </w:r>
      <w:r>
        <w:rPr>
          <w:rFonts w:hint="eastAsia" w:ascii="Times New Roman" w:hAnsi="Times New Roman"/>
          <w:color w:val="auto"/>
          <w:sz w:val="28"/>
          <w:szCs w:val="28"/>
          <w:highlight w:val="none"/>
        </w:rPr>
        <w:t>该项目用地的</w:t>
      </w:r>
      <w:r>
        <w:rPr>
          <w:rFonts w:ascii="Times New Roman" w:hAnsi="Times New Roman"/>
          <w:color w:val="auto"/>
          <w:sz w:val="28"/>
          <w:szCs w:val="28"/>
          <w:highlight w:val="none"/>
        </w:rPr>
        <w:t>选址。</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7．占用林地意见</w:t>
      </w:r>
    </w:p>
    <w:p>
      <w:pPr>
        <w:adjustRightInd w:val="0"/>
        <w:snapToGrid w:val="0"/>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湖南省安化县</w:t>
      </w:r>
      <w:r>
        <w:rPr>
          <w:rFonts w:ascii="Times New Roman" w:hAnsi="Times New Roman" w:cs="Times New Roman"/>
          <w:color w:val="auto"/>
          <w:sz w:val="28"/>
          <w:szCs w:val="28"/>
          <w:highlight w:val="none"/>
        </w:rPr>
        <w:t>林业局</w:t>
      </w:r>
      <w:r>
        <w:rPr>
          <w:rFonts w:hint="eastAsia" w:ascii="Times New Roman" w:hAnsi="Times New Roman" w:cs="Times New Roman"/>
          <w:color w:val="auto"/>
          <w:sz w:val="28"/>
          <w:szCs w:val="28"/>
          <w:highlight w:val="none"/>
        </w:rPr>
        <w:t>认为该项目选址</w:t>
      </w:r>
      <w:r>
        <w:rPr>
          <w:rFonts w:ascii="Times New Roman" w:hAnsi="Times New Roman" w:cs="Times New Roman"/>
          <w:color w:val="auto"/>
          <w:sz w:val="28"/>
          <w:szCs w:val="28"/>
          <w:highlight w:val="none"/>
        </w:rPr>
        <w:t>可行，</w:t>
      </w:r>
      <w:r>
        <w:rPr>
          <w:rFonts w:hint="eastAsia" w:ascii="Times New Roman" w:hAnsi="Times New Roman" w:cs="Times New Roman"/>
          <w:color w:val="auto"/>
          <w:sz w:val="28"/>
          <w:szCs w:val="28"/>
          <w:highlight w:val="none"/>
        </w:rPr>
        <w:t>同意设置矿权</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cs="Times New Roman"/>
          <w:color w:val="auto"/>
          <w:sz w:val="32"/>
          <w:szCs w:val="32"/>
          <w:highlight w:val="none"/>
        </w:rPr>
      </w:pPr>
      <w:r>
        <w:rPr>
          <w:rFonts w:ascii="Times New Roman" w:hAnsi="Times New Roman" w:eastAsia="楷体" w:cs="Times New Roman"/>
          <w:b/>
          <w:color w:val="auto"/>
          <w:sz w:val="32"/>
          <w:szCs w:val="32"/>
          <w:highlight w:val="none"/>
        </w:rPr>
        <w:t>8．出让起始价及出让收益缴纳</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拟定起始价（底价）为人民币9200万元，拟定增价幅度为100万元，</w:t>
      </w:r>
      <w:r>
        <w:rPr>
          <w:rFonts w:hint="eastAsia" w:ascii="Times New Roman" w:hAnsi="Times New Roman" w:cs="Times New Roman"/>
          <w:color w:val="auto"/>
          <w:sz w:val="28"/>
          <w:szCs w:val="28"/>
          <w:highlight w:val="none"/>
        </w:rPr>
        <w:t>竞得人应按相关规定缴纳采矿权出让收益，以最终成交价为准。成交价1亿元</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含</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以下的</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须</w:t>
      </w:r>
      <w:r>
        <w:rPr>
          <w:rFonts w:ascii="Times New Roman" w:hAnsi="Times New Roman" w:cs="Times New Roman"/>
          <w:color w:val="auto"/>
          <w:sz w:val="28"/>
          <w:szCs w:val="28"/>
          <w:highlight w:val="none"/>
        </w:rPr>
        <w:t>一次性缴纳</w:t>
      </w:r>
      <w:r>
        <w:rPr>
          <w:rFonts w:hint="eastAsia" w:ascii="Times New Roman" w:hAnsi="Times New Roman" w:cs="Times New Roman"/>
          <w:color w:val="auto"/>
          <w:sz w:val="28"/>
          <w:szCs w:val="28"/>
          <w:highlight w:val="none"/>
        </w:rPr>
        <w:t>出让收益</w:t>
      </w:r>
      <w:r>
        <w:rPr>
          <w:rFonts w:ascii="Times New Roman" w:hAnsi="Times New Roman" w:cs="Times New Roman"/>
          <w:color w:val="auto"/>
          <w:sz w:val="28"/>
          <w:szCs w:val="28"/>
          <w:highlight w:val="none"/>
        </w:rPr>
        <w:t>；成交价</w:t>
      </w:r>
      <w:r>
        <w:rPr>
          <w:rFonts w:hint="eastAsia" w:ascii="Times New Roman" w:hAnsi="Times New Roman" w:cs="Times New Roman"/>
          <w:color w:val="auto"/>
          <w:sz w:val="28"/>
          <w:szCs w:val="28"/>
          <w:highlight w:val="none"/>
        </w:rPr>
        <w:t>1亿元</w:t>
      </w:r>
      <w:r>
        <w:rPr>
          <w:rFonts w:ascii="Times New Roman" w:hAnsi="Times New Roman" w:cs="Times New Roman"/>
          <w:color w:val="auto"/>
          <w:sz w:val="28"/>
          <w:szCs w:val="28"/>
          <w:highlight w:val="none"/>
        </w:rPr>
        <w:t>以上的，</w:t>
      </w:r>
      <w:r>
        <w:rPr>
          <w:rFonts w:hint="eastAsia" w:ascii="Times New Roman" w:hAnsi="Times New Roman" w:cs="Times New Roman"/>
          <w:color w:val="auto"/>
          <w:sz w:val="28"/>
          <w:szCs w:val="28"/>
          <w:highlight w:val="none"/>
        </w:rPr>
        <w:t>可分期</w:t>
      </w:r>
      <w:r>
        <w:rPr>
          <w:rFonts w:ascii="Times New Roman" w:hAnsi="Times New Roman" w:cs="Times New Roman"/>
          <w:color w:val="auto"/>
          <w:sz w:val="28"/>
          <w:szCs w:val="28"/>
          <w:highlight w:val="none"/>
        </w:rPr>
        <w:t>缴纳出让收益，但首期</w:t>
      </w:r>
      <w:r>
        <w:rPr>
          <w:rFonts w:hint="eastAsia" w:ascii="Times New Roman" w:hAnsi="Times New Roman" w:cs="Times New Roman"/>
          <w:color w:val="auto"/>
          <w:sz w:val="28"/>
          <w:szCs w:val="28"/>
          <w:highlight w:val="none"/>
        </w:rPr>
        <w:t>应</w:t>
      </w:r>
      <w:r>
        <w:rPr>
          <w:rFonts w:ascii="Times New Roman" w:hAnsi="Times New Roman" w:cs="Times New Roman"/>
          <w:color w:val="auto"/>
          <w:sz w:val="28"/>
          <w:szCs w:val="28"/>
          <w:highlight w:val="none"/>
        </w:rPr>
        <w:t>不</w:t>
      </w:r>
      <w:r>
        <w:rPr>
          <w:rFonts w:hint="eastAsia" w:ascii="Times New Roman" w:hAnsi="Times New Roman" w:cs="Times New Roman"/>
          <w:color w:val="auto"/>
          <w:sz w:val="28"/>
          <w:szCs w:val="28"/>
          <w:highlight w:val="none"/>
        </w:rPr>
        <w:t>少</w:t>
      </w:r>
      <w:r>
        <w:rPr>
          <w:rFonts w:ascii="Times New Roman" w:hAnsi="Times New Roman" w:cs="Times New Roman"/>
          <w:color w:val="auto"/>
          <w:sz w:val="28"/>
          <w:szCs w:val="28"/>
          <w:highlight w:val="none"/>
        </w:rPr>
        <w:t>于成交价格的40%</w:t>
      </w:r>
      <w:r>
        <w:rPr>
          <w:rFonts w:hint="eastAsia" w:ascii="Times New Roman" w:hAnsi="Times New Roman" w:cs="Times New Roman"/>
          <w:color w:val="auto"/>
          <w:sz w:val="28"/>
          <w:szCs w:val="28"/>
          <w:highlight w:val="none"/>
        </w:rPr>
        <w:t>且不少于1亿元，</w:t>
      </w:r>
      <w:r>
        <w:rPr>
          <w:rFonts w:ascii="Times New Roman" w:hAnsi="Times New Roman" w:cs="Times New Roman"/>
          <w:color w:val="auto"/>
          <w:sz w:val="28"/>
          <w:szCs w:val="28"/>
          <w:highlight w:val="none"/>
        </w:rPr>
        <w:t>剩余部分</w:t>
      </w:r>
      <w:r>
        <w:rPr>
          <w:rFonts w:hint="eastAsia" w:ascii="Times New Roman" w:hAnsi="Times New Roman" w:cs="Times New Roman"/>
          <w:color w:val="auto"/>
          <w:sz w:val="28"/>
          <w:szCs w:val="28"/>
          <w:highlight w:val="none"/>
        </w:rPr>
        <w:t>按规定分期缴清</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9．出让年限</w:t>
      </w:r>
    </w:p>
    <w:p>
      <w:pPr>
        <w:pStyle w:val="2"/>
        <w:spacing w:after="0" w:line="560" w:lineRule="exact"/>
        <w:ind w:firstLine="560"/>
        <w:rPr>
          <w:rFonts w:ascii="Times New Roman" w:hAnsi="Times New Roman"/>
          <w:color w:val="auto"/>
          <w:sz w:val="28"/>
          <w:szCs w:val="28"/>
          <w:highlight w:val="none"/>
        </w:rPr>
      </w:pPr>
      <w:r>
        <w:rPr>
          <w:rFonts w:ascii="Times New Roman" w:hAnsi="Times New Roman"/>
          <w:color w:val="auto"/>
          <w:sz w:val="28"/>
          <w:szCs w:val="28"/>
          <w:highlight w:val="none"/>
        </w:rPr>
        <w:t>出让年限16.0年（矿山服务年限加1年基建期）。</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10．净矿出让成本</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安化县人民政府关于拟设湖南省安化县高坪矿区建筑用砂岩矿采矿权“净矿”出让前期费用专项评估报告的审查意见</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（安政</w:t>
      </w:r>
      <w:r>
        <w:rPr>
          <w:rFonts w:ascii="Times New Roman" w:hAnsi="Times New Roman" w:cs="Times New Roman"/>
          <w:color w:val="auto"/>
          <w:sz w:val="28"/>
          <w:szCs w:val="28"/>
          <w:highlight w:val="none"/>
        </w:rPr>
        <w:t>函〔2022〕125号</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，前期投入成本合计893.46万元（大写人民币</w:t>
      </w:r>
      <w:r>
        <w:rPr>
          <w:rFonts w:hint="eastAsia" w:ascii="Times New Roman" w:hAnsi="Times New Roman" w:cs="Times New Roman"/>
          <w:color w:val="auto"/>
          <w:sz w:val="28"/>
          <w:szCs w:val="28"/>
          <w:highlight w:val="none"/>
        </w:rPr>
        <w:t>捌佰玖拾叁万肆仟陆佰元整</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，包含技术服务费用</w:t>
      </w:r>
      <w:r>
        <w:rPr>
          <w:rFonts w:ascii="Times New Roman" w:hAnsi="Times New Roman" w:cs="Times New Roman"/>
          <w:color w:val="auto"/>
          <w:sz w:val="28"/>
          <w:szCs w:val="28"/>
          <w:highlight w:val="none"/>
        </w:rPr>
        <w:t>198.88</w:t>
      </w:r>
      <w:r>
        <w:rPr>
          <w:rFonts w:hint="eastAsia" w:ascii="Times New Roman" w:hAnsi="Times New Roman" w:cs="Times New Roman"/>
          <w:color w:val="auto"/>
          <w:sz w:val="28"/>
          <w:szCs w:val="28"/>
          <w:highlight w:val="none"/>
        </w:rPr>
        <w:t>万元，土地取得相关费用</w:t>
      </w:r>
      <w:r>
        <w:rPr>
          <w:rFonts w:ascii="Times New Roman" w:hAnsi="Times New Roman" w:cs="Times New Roman"/>
          <w:color w:val="auto"/>
          <w:sz w:val="28"/>
          <w:szCs w:val="28"/>
          <w:highlight w:val="none"/>
        </w:rPr>
        <w:t>694.58</w:t>
      </w:r>
      <w:r>
        <w:rPr>
          <w:rFonts w:hint="eastAsia" w:ascii="Times New Roman" w:hAnsi="Times New Roman" w:cs="Times New Roman"/>
          <w:color w:val="auto"/>
          <w:sz w:val="28"/>
          <w:szCs w:val="28"/>
          <w:highlight w:val="none"/>
        </w:rPr>
        <w:t>万元。</w:t>
      </w:r>
    </w:p>
    <w:p>
      <w:pPr>
        <w:snapToGrid w:val="0"/>
        <w:spacing w:line="560" w:lineRule="exact"/>
        <w:ind w:firstLine="640"/>
        <w:rPr>
          <w:rFonts w:ascii="Times New Roman" w:hAnsi="Times New Roman" w:eastAsia="楷体" w:cs="Times New Roman"/>
          <w:b/>
          <w:color w:val="auto"/>
          <w:sz w:val="32"/>
          <w:szCs w:val="32"/>
          <w:highlight w:val="none"/>
        </w:rPr>
      </w:pPr>
      <w:r>
        <w:rPr>
          <w:rFonts w:ascii="Times New Roman" w:hAnsi="Times New Roman" w:eastAsia="黑体" w:cs="Times New Roman"/>
          <w:color w:val="auto"/>
          <w:sz w:val="32"/>
          <w:szCs w:val="32"/>
          <w:highlight w:val="none"/>
        </w:rPr>
        <w:t>二、竞买人资格条件</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lang w:val="en-US" w:eastAsia="zh-CN"/>
        </w:rPr>
        <w:t>1</w:t>
      </w:r>
      <w:r>
        <w:rPr>
          <w:rFonts w:hint="eastAsia" w:ascii="Times New Roman" w:hAnsi="Times New Roman" w:cs="Times New Roman"/>
          <w:color w:val="auto"/>
          <w:sz w:val="28"/>
          <w:szCs w:val="28"/>
          <w:highlight w:val="none"/>
          <w:lang w:val="en-US" w:eastAsia="zh-CN"/>
        </w:rPr>
        <w:t xml:space="preserve">. </w:t>
      </w:r>
      <w:r>
        <w:rPr>
          <w:rFonts w:ascii="Times New Roman" w:hAnsi="Times New Roman" w:cs="Times New Roman"/>
          <w:color w:val="auto"/>
          <w:sz w:val="28"/>
          <w:szCs w:val="28"/>
          <w:highlight w:val="none"/>
          <w:lang w:val="en-US" w:eastAsia="zh-CN"/>
        </w:rPr>
        <w:t>竞买人应未纳入失信企业名单(含法定代表人，出具中国人民银行信用证明);</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lang w:val="en-US" w:eastAsia="zh-CN"/>
        </w:rPr>
        <w:t xml:space="preserve">2. </w:t>
      </w:r>
      <w:r>
        <w:rPr>
          <w:rFonts w:hint="default" w:ascii="Times New Roman" w:hAnsi="Times New Roman" w:cs="Times New Roman"/>
          <w:color w:val="auto"/>
          <w:sz w:val="28"/>
          <w:szCs w:val="28"/>
          <w:highlight w:val="none"/>
          <w:lang w:val="en-US" w:eastAsia="zh-CN"/>
        </w:rPr>
        <w:t>竞买人应未纳入安全生产失信黑名单(含法定代表人)（出具企业所在地应急部门的证明）；</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lang w:val="en-US" w:eastAsia="zh-CN"/>
        </w:rPr>
        <w:t xml:space="preserve">3. </w:t>
      </w:r>
      <w:r>
        <w:rPr>
          <w:rFonts w:hint="default" w:ascii="Times New Roman" w:hAnsi="Times New Roman" w:cs="Times New Roman"/>
          <w:color w:val="auto"/>
          <w:sz w:val="28"/>
          <w:szCs w:val="28"/>
          <w:highlight w:val="none"/>
          <w:lang w:val="en-US" w:eastAsia="zh-CN"/>
        </w:rPr>
        <w:t>竞买人应未纳入我省</w:t>
      </w:r>
      <w:r>
        <w:rPr>
          <w:rFonts w:ascii="Times New Roman" w:hAnsi="Times New Roman" w:cs="Times New Roman"/>
          <w:color w:val="auto"/>
          <w:sz w:val="28"/>
          <w:szCs w:val="28"/>
          <w:highlight w:val="none"/>
          <w:lang w:val="en-US" w:eastAsia="zh-CN"/>
        </w:rPr>
        <w:t>公共资源</w:t>
      </w:r>
      <w:r>
        <w:rPr>
          <w:rFonts w:hint="eastAsia" w:ascii="Times New Roman" w:hAnsi="Times New Roman" w:cs="Times New Roman"/>
          <w:color w:val="auto"/>
          <w:sz w:val="28"/>
          <w:szCs w:val="28"/>
          <w:highlight w:val="none"/>
          <w:lang w:val="en-US" w:eastAsia="zh-CN"/>
        </w:rPr>
        <w:t>交易领域黑名单</w:t>
      </w:r>
      <w:r>
        <w:rPr>
          <w:rFonts w:hint="default" w:ascii="Times New Roman" w:hAnsi="Times New Roman" w:cs="Times New Roman"/>
          <w:color w:val="auto"/>
          <w:sz w:val="28"/>
          <w:szCs w:val="28"/>
          <w:highlight w:val="none"/>
          <w:lang w:val="en-US" w:eastAsia="zh-CN"/>
        </w:rPr>
        <w:t>的独立法人企业（出具企业自查承诺）；</w:t>
      </w:r>
    </w:p>
    <w:p>
      <w:pPr>
        <w:spacing w:line="560" w:lineRule="exact"/>
        <w:ind w:firstLine="560"/>
        <w:rPr>
          <w:rFonts w:hint="eastAsia"/>
          <w:color w:val="auto"/>
          <w:highlight w:val="none"/>
        </w:rPr>
      </w:pPr>
      <w:r>
        <w:rPr>
          <w:rFonts w:hint="eastAsia" w:ascii="Times New Roman" w:hAnsi="Times New Roman" w:cs="Times New Roman"/>
          <w:color w:val="auto"/>
          <w:sz w:val="28"/>
          <w:szCs w:val="28"/>
          <w:highlight w:val="none"/>
          <w:lang w:val="en-US" w:eastAsia="zh-CN"/>
        </w:rPr>
        <w:t xml:space="preserve">4. </w:t>
      </w:r>
      <w:r>
        <w:rPr>
          <w:rFonts w:ascii="Times New Roman" w:hAnsi="Times New Roman"/>
          <w:color w:val="auto"/>
          <w:sz w:val="28"/>
          <w:szCs w:val="28"/>
          <w:highlight w:val="none"/>
        </w:rPr>
        <w:t>具有不低于矿业权出让起始价缴纳费用和“净矿”出让成本的资金实力，需由银行出具止付证明（人民币10094万元，其中矿业权出让起始价费用9200万元</w:t>
      </w:r>
      <w:r>
        <w:rPr>
          <w:rFonts w:hint="eastAsia" w:ascii="Times New Roman" w:hAnsi="Times New Roman"/>
          <w:color w:val="auto"/>
          <w:sz w:val="28"/>
          <w:szCs w:val="28"/>
          <w:highlight w:val="none"/>
        </w:rPr>
        <w:t>，</w:t>
      </w:r>
      <w:r>
        <w:rPr>
          <w:rFonts w:ascii="Times New Roman" w:hAnsi="Times New Roman"/>
          <w:color w:val="auto"/>
          <w:sz w:val="28"/>
          <w:szCs w:val="28"/>
          <w:highlight w:val="none"/>
        </w:rPr>
        <w:t>“净矿”出让成本894万元）。</w:t>
      </w:r>
    </w:p>
    <w:p>
      <w:pPr>
        <w:snapToGrid w:val="0"/>
        <w:spacing w:line="560" w:lineRule="exact"/>
        <w:ind w:firstLine="640"/>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三、重要提示事项</w:t>
      </w:r>
    </w:p>
    <w:p>
      <w:pPr>
        <w:adjustRightInd w:val="0"/>
        <w:snapToGrid w:val="0"/>
        <w:spacing w:line="560" w:lineRule="exact"/>
        <w:ind w:firstLine="560"/>
        <w:rPr>
          <w:rFonts w:hint="eastAsia"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1.</w:t>
      </w:r>
      <w:r>
        <w:rPr>
          <w:rFonts w:ascii="Times New Roman" w:hAnsi="Times New Roman" w:cs="Times New Roman"/>
          <w:color w:val="auto"/>
          <w:sz w:val="28"/>
          <w:szCs w:val="28"/>
          <w:highlight w:val="none"/>
        </w:rPr>
        <w:t xml:space="preserve"> </w:t>
      </w:r>
      <w:r>
        <w:rPr>
          <w:rFonts w:hint="eastAsia" w:ascii="Times New Roman" w:hAnsi="Times New Roman" w:cs="Times New Roman"/>
          <w:color w:val="auto"/>
          <w:sz w:val="28"/>
          <w:szCs w:val="28"/>
          <w:highlight w:val="none"/>
          <w:lang w:eastAsia="zh-CN"/>
        </w:rPr>
        <w:t>竞买人</w:t>
      </w:r>
      <w:r>
        <w:rPr>
          <w:rFonts w:hint="eastAsia" w:ascii="Times New Roman" w:hAnsi="Times New Roman" w:cs="Times New Roman"/>
          <w:color w:val="auto"/>
          <w:sz w:val="28"/>
          <w:szCs w:val="28"/>
          <w:highlight w:val="none"/>
        </w:rPr>
        <w:t>须充分考虑法律法规、国家产业政策及矿产资源规划等调整对矿产资源开发利用带来的影响，接受包括但不限于安全生产、地质灾害防治、环境保护等有关要求，接受特定采矿方法、选矿方法等的限制，接受矿产资源开发利用全过程监管。</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 xml:space="preserve">2. </w:t>
      </w:r>
      <w:r>
        <w:rPr>
          <w:rFonts w:hint="eastAsia" w:ascii="Times New Roman" w:hAnsi="Times New Roman" w:cs="Times New Roman"/>
          <w:color w:val="auto"/>
          <w:sz w:val="28"/>
          <w:szCs w:val="28"/>
          <w:highlight w:val="none"/>
          <w:lang w:eastAsia="zh-CN"/>
        </w:rPr>
        <w:t>竞买人</w:t>
      </w:r>
      <w:r>
        <w:rPr>
          <w:rFonts w:ascii="Times New Roman" w:hAnsi="Times New Roman" w:cs="Times New Roman"/>
          <w:color w:val="auto"/>
          <w:sz w:val="28"/>
          <w:szCs w:val="28"/>
          <w:highlight w:val="none"/>
        </w:rPr>
        <w:t>不得有未履行矿业开发保护义务的记录（包括已有矿山履行地质灾害治理义务、生态修复义务、相关规费缴纳或缴存义务等内容）。</w:t>
      </w:r>
    </w:p>
    <w:p>
      <w:pPr>
        <w:adjustRightInd w:val="0"/>
        <w:snapToGrid w:val="0"/>
        <w:spacing w:line="560" w:lineRule="exact"/>
        <w:ind w:firstLine="560"/>
        <w:rPr>
          <w:rFonts w:hint="eastAsia"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 xml:space="preserve">3. </w:t>
      </w:r>
      <w:r>
        <w:rPr>
          <w:rFonts w:hint="eastAsia" w:ascii="Times New Roman" w:hAnsi="Times New Roman" w:cs="Times New Roman"/>
          <w:color w:val="auto"/>
          <w:sz w:val="28"/>
          <w:szCs w:val="28"/>
          <w:highlight w:val="none"/>
        </w:rPr>
        <w:t>根据《探矿权采矿权转让管理办法》（国务院令第2</w:t>
      </w:r>
      <w:r>
        <w:rPr>
          <w:rFonts w:ascii="Times New Roman" w:hAnsi="Times New Roman" w:cs="Times New Roman"/>
          <w:color w:val="auto"/>
          <w:sz w:val="28"/>
          <w:szCs w:val="28"/>
          <w:highlight w:val="none"/>
        </w:rPr>
        <w:t>42</w:t>
      </w:r>
      <w:r>
        <w:rPr>
          <w:rFonts w:hint="eastAsia" w:ascii="Times New Roman" w:hAnsi="Times New Roman" w:cs="Times New Roman"/>
          <w:color w:val="auto"/>
          <w:sz w:val="28"/>
          <w:szCs w:val="28"/>
          <w:highlight w:val="none"/>
        </w:rPr>
        <w:t>号）第六条，</w:t>
      </w:r>
      <w:r>
        <w:rPr>
          <w:rFonts w:hint="eastAsia" w:ascii="Times New Roman" w:hAnsi="Times New Roman" w:cs="Times New Roman"/>
          <w:color w:val="auto"/>
          <w:sz w:val="28"/>
          <w:szCs w:val="28"/>
          <w:highlight w:val="none"/>
          <w:lang w:eastAsia="zh-CN"/>
        </w:rPr>
        <w:t>竞得人</w:t>
      </w:r>
      <w:r>
        <w:rPr>
          <w:rFonts w:hint="eastAsia" w:ascii="Times New Roman" w:hAnsi="Times New Roman" w:cs="Times New Roman"/>
          <w:color w:val="auto"/>
          <w:sz w:val="28"/>
          <w:szCs w:val="28"/>
          <w:highlight w:val="none"/>
        </w:rPr>
        <w:t>须投入采矿生产满1年方可转让采矿权。</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4</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 xml:space="preserve"> </w:t>
      </w:r>
      <w:r>
        <w:rPr>
          <w:rFonts w:hint="eastAsia" w:ascii="Times New Roman" w:hAnsi="Times New Roman" w:cs="Times New Roman"/>
          <w:color w:val="auto"/>
          <w:sz w:val="28"/>
          <w:szCs w:val="28"/>
          <w:highlight w:val="none"/>
        </w:rPr>
        <w:t>竞得人须依法依规依程序办理采矿登记、占用林地、建设用地审批等相关手续，并满足环境影响评价和安全生产等有关条件。</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5. 根据我省相关规定，竞得人应严格按照湖南省绿色矿山标准要求进行规划、设计、建设和运营管理，并在</w:t>
      </w:r>
      <w:r>
        <w:rPr>
          <w:rFonts w:hint="eastAsia" w:ascii="Times New Roman" w:hAnsi="Times New Roman" w:cs="Times New Roman"/>
          <w:color w:val="auto"/>
          <w:sz w:val="28"/>
          <w:szCs w:val="28"/>
          <w:highlight w:val="none"/>
        </w:rPr>
        <w:t>正式</w:t>
      </w:r>
      <w:r>
        <w:rPr>
          <w:rFonts w:ascii="Times New Roman" w:hAnsi="Times New Roman" w:cs="Times New Roman"/>
          <w:color w:val="auto"/>
          <w:sz w:val="28"/>
          <w:szCs w:val="28"/>
          <w:highlight w:val="none"/>
        </w:rPr>
        <w:t>投产</w:t>
      </w:r>
      <w:r>
        <w:rPr>
          <w:rFonts w:hint="eastAsia" w:ascii="Times New Roman" w:hAnsi="Times New Roman" w:cs="Times New Roman"/>
          <w:color w:val="auto"/>
          <w:sz w:val="28"/>
          <w:szCs w:val="28"/>
          <w:highlight w:val="none"/>
        </w:rPr>
        <w:t>满</w:t>
      </w:r>
      <w:r>
        <w:rPr>
          <w:rFonts w:ascii="Times New Roman" w:hAnsi="Times New Roman" w:cs="Times New Roman"/>
          <w:color w:val="auto"/>
          <w:sz w:val="28"/>
          <w:szCs w:val="28"/>
          <w:highlight w:val="none"/>
        </w:rPr>
        <w:t>一年后三个月内必须完成绿色矿山自评和申报。</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6. 本次竞得人</w:t>
      </w:r>
      <w:r>
        <w:rPr>
          <w:rFonts w:hint="eastAsia" w:ascii="Times New Roman" w:hAnsi="Times New Roman" w:cs="Times New Roman"/>
          <w:color w:val="auto"/>
          <w:sz w:val="28"/>
          <w:szCs w:val="28"/>
          <w:highlight w:val="none"/>
          <w:lang w:eastAsia="zh-CN"/>
        </w:rPr>
        <w:t>除按要求缴纳采矿权出让收益外，另</w:t>
      </w:r>
      <w:r>
        <w:rPr>
          <w:rFonts w:ascii="Times New Roman" w:hAnsi="Times New Roman" w:cs="Times New Roman"/>
          <w:color w:val="auto"/>
          <w:sz w:val="28"/>
          <w:szCs w:val="28"/>
          <w:highlight w:val="none"/>
        </w:rPr>
        <w:t>需一次性支付</w:t>
      </w:r>
      <w:r>
        <w:rPr>
          <w:rFonts w:hint="eastAsia" w:ascii="Times New Roman" w:hAnsi="Times New Roman" w:cs="Times New Roman"/>
          <w:color w:val="auto"/>
          <w:sz w:val="28"/>
          <w:szCs w:val="28"/>
          <w:highlight w:val="none"/>
        </w:rPr>
        <w:t>安化县</w:t>
      </w:r>
      <w:r>
        <w:rPr>
          <w:rFonts w:ascii="Times New Roman" w:hAnsi="Times New Roman" w:cs="Times New Roman"/>
          <w:color w:val="auto"/>
          <w:sz w:val="28"/>
          <w:szCs w:val="28"/>
          <w:highlight w:val="none"/>
        </w:rPr>
        <w:t>人民政府净矿出让成本价893.46万元（大写人民币</w:t>
      </w:r>
      <w:r>
        <w:rPr>
          <w:rFonts w:hint="eastAsia" w:ascii="Times New Roman" w:hAnsi="Times New Roman" w:cs="Times New Roman"/>
          <w:color w:val="auto"/>
          <w:sz w:val="28"/>
          <w:szCs w:val="28"/>
          <w:highlight w:val="none"/>
        </w:rPr>
        <w:t>捌佰玖拾叁万肆仟陆佰元整</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（未包含工业广场及其配套设施土地征收、租赁相关费用）</w:t>
      </w:r>
      <w:r>
        <w:rPr>
          <w:rFonts w:ascii="Times New Roman" w:hAnsi="Times New Roman" w:cs="Times New Roman"/>
          <w:color w:val="auto"/>
          <w:sz w:val="28"/>
          <w:szCs w:val="28"/>
          <w:highlight w:val="none"/>
        </w:rPr>
        <w:t>。开户银行：</w:t>
      </w:r>
      <w:r>
        <w:rPr>
          <w:rFonts w:hint="eastAsia" w:ascii="Times New Roman" w:hAnsi="Times New Roman" w:cs="Times New Roman"/>
          <w:color w:val="auto"/>
          <w:sz w:val="28"/>
          <w:szCs w:val="28"/>
          <w:highlight w:val="none"/>
        </w:rPr>
        <w:t>中国工商银行安化支行</w:t>
      </w:r>
      <w:r>
        <w:rPr>
          <w:rFonts w:ascii="Times New Roman" w:hAnsi="Times New Roman" w:cs="Times New Roman"/>
          <w:color w:val="auto"/>
          <w:sz w:val="28"/>
          <w:szCs w:val="28"/>
          <w:highlight w:val="none"/>
        </w:rPr>
        <w:t>；银行账号：1912034029219552803；专户名称：</w:t>
      </w:r>
      <w:r>
        <w:rPr>
          <w:rFonts w:hint="eastAsia" w:ascii="Times New Roman" w:hAnsi="Times New Roman" w:cs="Times New Roman"/>
          <w:color w:val="auto"/>
          <w:sz w:val="28"/>
          <w:szCs w:val="28"/>
          <w:highlight w:val="none"/>
        </w:rPr>
        <w:t>安化县</w:t>
      </w:r>
      <w:r>
        <w:rPr>
          <w:rFonts w:ascii="Times New Roman" w:hAnsi="Times New Roman" w:cs="Times New Roman"/>
          <w:color w:val="auto"/>
          <w:sz w:val="28"/>
          <w:szCs w:val="28"/>
          <w:highlight w:val="none"/>
        </w:rPr>
        <w:t>财政局非税收入汇缴</w:t>
      </w:r>
      <w:r>
        <w:rPr>
          <w:rFonts w:hint="eastAsia" w:ascii="Times New Roman" w:hAnsi="Times New Roman" w:cs="Times New Roman"/>
          <w:color w:val="auto"/>
          <w:sz w:val="28"/>
          <w:szCs w:val="28"/>
          <w:highlight w:val="none"/>
        </w:rPr>
        <w:t>结算</w:t>
      </w:r>
      <w:r>
        <w:rPr>
          <w:rFonts w:ascii="Times New Roman" w:hAnsi="Times New Roman" w:cs="Times New Roman"/>
          <w:color w:val="auto"/>
          <w:sz w:val="28"/>
          <w:szCs w:val="28"/>
          <w:highlight w:val="none"/>
        </w:rPr>
        <w:t>户。</w:t>
      </w:r>
    </w:p>
    <w:p>
      <w:pPr>
        <w:pStyle w:val="2"/>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7. 竞得人为涉外投资企业的，由省自然资源厅征求相关部门意见，相关部门无异议后按要求签订出让合同；相关部门不同意设置的，取消其竞得资格，交易服务费不予退付。</w:t>
      </w:r>
    </w:p>
    <w:p>
      <w:pPr>
        <w:pStyle w:val="2"/>
        <w:spacing w:after="0" w:line="560" w:lineRule="exact"/>
        <w:ind w:firstLine="560"/>
        <w:rPr>
          <w:rFonts w:ascii="Times New Roman" w:hAnsi="Times New Roman"/>
          <w:color w:val="auto"/>
          <w:highlight w:val="none"/>
        </w:rPr>
        <w:sectPr>
          <w:pgSz w:w="11906" w:h="16838"/>
          <w:pgMar w:top="1440" w:right="1797" w:bottom="1440" w:left="1797" w:header="851" w:footer="992" w:gutter="0"/>
          <w:pgNumType w:fmt="numberInDash"/>
          <w:cols w:space="720" w:num="1"/>
          <w:docGrid w:type="lines" w:linePitch="332" w:charSpace="0"/>
        </w:sectPr>
      </w:pPr>
      <w:r>
        <w:rPr>
          <w:rFonts w:hint="eastAsia" w:ascii="Times New Roman" w:hAnsi="Times New Roman"/>
          <w:color w:val="auto"/>
          <w:kern w:val="2"/>
          <w:sz w:val="28"/>
          <w:szCs w:val="28"/>
          <w:highlight w:val="none"/>
          <w:lang w:val="en-US" w:eastAsia="zh-CN"/>
        </w:rPr>
        <w:t>8</w:t>
      </w:r>
      <w:r>
        <w:rPr>
          <w:rFonts w:ascii="Times New Roman" w:hAnsi="Times New Roman"/>
          <w:color w:val="auto"/>
          <w:kern w:val="2"/>
          <w:sz w:val="28"/>
          <w:szCs w:val="28"/>
          <w:highlight w:val="none"/>
        </w:rPr>
        <w:t xml:space="preserve">. </w:t>
      </w:r>
      <w:r>
        <w:rPr>
          <w:rFonts w:ascii="Times New Roman" w:hAnsi="Times New Roman"/>
          <w:color w:val="auto"/>
          <w:sz w:val="28"/>
          <w:szCs w:val="28"/>
          <w:highlight w:val="none"/>
        </w:rPr>
        <w:t>相关业务咨询联系人：</w:t>
      </w:r>
      <w:r>
        <w:rPr>
          <w:rFonts w:hint="eastAsia" w:ascii="Times New Roman" w:hAnsi="Times New Roman"/>
          <w:color w:val="auto"/>
          <w:sz w:val="28"/>
          <w:szCs w:val="28"/>
          <w:highlight w:val="none"/>
        </w:rPr>
        <w:t xml:space="preserve">省自然资源厅 </w:t>
      </w:r>
      <w:r>
        <w:rPr>
          <w:rFonts w:ascii="Times New Roman" w:hAnsi="Times New Roman"/>
          <w:color w:val="auto"/>
          <w:sz w:val="28"/>
          <w:szCs w:val="28"/>
          <w:highlight w:val="none"/>
        </w:rPr>
        <w:t>肖青</w:t>
      </w:r>
      <w:r>
        <w:rPr>
          <w:rFonts w:hint="eastAsia" w:ascii="Times New Roman" w:hAnsi="Times New Roman"/>
          <w:color w:val="auto"/>
          <w:sz w:val="28"/>
          <w:szCs w:val="28"/>
          <w:highlight w:val="none"/>
        </w:rPr>
        <w:t>，</w:t>
      </w:r>
      <w:r>
        <w:rPr>
          <w:rFonts w:ascii="Times New Roman" w:hAnsi="Times New Roman"/>
          <w:color w:val="auto"/>
          <w:sz w:val="28"/>
          <w:szCs w:val="28"/>
          <w:highlight w:val="none"/>
        </w:rPr>
        <w:t>联系电话：0731-89991134</w:t>
      </w:r>
      <w:r>
        <w:rPr>
          <w:rFonts w:hint="eastAsia" w:ascii="Times New Roman" w:hAnsi="Times New Roman"/>
          <w:color w:val="auto"/>
          <w:sz w:val="28"/>
          <w:szCs w:val="28"/>
          <w:highlight w:val="none"/>
        </w:rPr>
        <w:t>；安化县自然资源局 刘峰，联系电话：13875317966。</w:t>
      </w:r>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AF6AA4"/>
    <w:rsid w:val="BFAF6AA4"/>
    <w:rsid w:val="D76F7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00" w:lineRule="exact"/>
      <w:ind w:firstLine="200" w:firstLineChars="200"/>
      <w:jc w:val="both"/>
    </w:pPr>
    <w:rPr>
      <w:rFonts w:ascii="仿宋_GB2312" w:hAnsi="??" w:eastAsia="仿宋_GB2312" w:cs="仿宋_GB2312"/>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cs="Times New Roman"/>
      <w:kern w:val="0"/>
    </w:rPr>
  </w:style>
  <w:style w:type="paragraph" w:styleId="3">
    <w:name w:val="List"/>
    <w:basedOn w:val="1"/>
    <w:next w:val="1"/>
    <w:qFormat/>
    <w:uiPriority w:val="0"/>
    <w:pPr>
      <w:spacing w:line="240" w:lineRule="atLeast"/>
      <w:ind w:hanging="200" w:hanging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2022-09-13T17:43:00Z</dcterms:created>
  <dc:creator>kylin</dc:creator>
  <cp:lastModifiedBy>kylin</cp:lastModifiedBy>
  <dcterms:modified xsi:type="dcterms:W3CDTF">2022-09-13T11:08:56Z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